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026"/>
      </w:tblGrid>
      <w:tr w:rsidR="00DC6FF2" w:rsidRPr="00DC6FF2" w:rsidTr="00DC6FF2">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876"/>
              <w:gridCol w:w="150"/>
            </w:tblGrid>
            <w:tr w:rsidR="00DC6FF2" w:rsidRPr="00DC6FF2" w:rsidTr="00DC6FF2">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876"/>
                  </w:tblGrid>
                  <w:tr w:rsidR="00DC6FF2" w:rsidRPr="00DC6FF2" w:rsidTr="00DC6FF2">
                    <w:trPr>
                      <w:tblCellSpacing w:w="0" w:type="dxa"/>
                      <w:jc w:val="center"/>
                    </w:trPr>
                    <w:tc>
                      <w:tcPr>
                        <w:tcW w:w="0" w:type="auto"/>
                        <w:hideMark/>
                      </w:tcPr>
                      <w:p w:rsidR="00DC6FF2" w:rsidRPr="00DC6FF2" w:rsidRDefault="00DC6FF2" w:rsidP="00DC6FF2">
                        <w:pPr>
                          <w:spacing w:after="0" w:line="240" w:lineRule="auto"/>
                          <w:jc w:val="center"/>
                          <w:rPr>
                            <w:rFonts w:ascii="Arial" w:eastAsia="Times New Roman" w:hAnsi="Arial" w:cs="Arial"/>
                            <w:color w:val="000001"/>
                            <w:sz w:val="21"/>
                            <w:szCs w:val="21"/>
                            <w:lang w:eastAsia="en-GB"/>
                          </w:rPr>
                        </w:pPr>
                        <w:r w:rsidRPr="00DC6FF2">
                          <w:rPr>
                            <w:rFonts w:ascii="Arial" w:eastAsia="Times New Roman" w:hAnsi="Arial" w:cs="Arial"/>
                            <w:b/>
                            <w:bCs/>
                            <w:color w:val="0000CD"/>
                            <w:sz w:val="27"/>
                            <w:szCs w:val="27"/>
                            <w:u w:val="single"/>
                            <w:lang w:eastAsia="en-GB"/>
                          </w:rPr>
                          <w:t>THE SEESAW EFFECT</w:t>
                        </w:r>
                      </w:p>
                    </w:tc>
                  </w:tr>
                  <w:tr w:rsidR="00DC6FF2" w:rsidRPr="00DC6FF2" w:rsidTr="00DC6FF2">
                    <w:trPr>
                      <w:trHeight w:val="150"/>
                      <w:tblCellSpacing w:w="0" w:type="dxa"/>
                      <w:jc w:val="center"/>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r w:rsidR="00DC6FF2" w:rsidRPr="00DC6FF2" w:rsidTr="00DC6FF2">
                    <w:trPr>
                      <w:tblCellSpacing w:w="0" w:type="dxa"/>
                      <w:jc w:val="center"/>
                    </w:trPr>
                    <w:tc>
                      <w:tcPr>
                        <w:tcW w:w="0" w:type="auto"/>
                        <w:hideMark/>
                      </w:tcPr>
                      <w:p w:rsidR="00DC6FF2" w:rsidRPr="00DC6FF2" w:rsidRDefault="00DC6FF2" w:rsidP="00DC6FF2">
                        <w:pPr>
                          <w:spacing w:after="0" w:line="240" w:lineRule="auto"/>
                          <w:jc w:val="center"/>
                          <w:rPr>
                            <w:rFonts w:ascii="inherit" w:eastAsia="Times New Roman" w:hAnsi="inherit" w:cs="Times New Roman"/>
                            <w:sz w:val="24"/>
                            <w:szCs w:val="24"/>
                            <w:lang w:eastAsia="en-GB"/>
                          </w:rPr>
                        </w:pPr>
                        <w:r w:rsidRPr="00DC6FF2">
                          <w:rPr>
                            <w:rFonts w:ascii="inherit" w:eastAsia="Times New Roman" w:hAnsi="inherit" w:cs="Times New Roman"/>
                            <w:noProof/>
                            <w:sz w:val="24"/>
                            <w:szCs w:val="24"/>
                            <w:lang w:eastAsia="en-GB"/>
                          </w:rPr>
                          <w:drawing>
                            <wp:inline distT="0" distB="0" distL="0" distR="0" wp14:anchorId="5CE87F31" wp14:editId="6A77CED8">
                              <wp:extent cx="3068955" cy="2592070"/>
                              <wp:effectExtent l="0" t="0" r="0" b="0"/>
                              <wp:docPr id="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68955" cy="2592070"/>
                                      </a:xfrm>
                                      <a:prstGeom prst="rect">
                                        <a:avLst/>
                                      </a:prstGeom>
                                      <a:noFill/>
                                      <a:ln>
                                        <a:noFill/>
                                      </a:ln>
                                    </pic:spPr>
                                  </pic:pic>
                                </a:graphicData>
                              </a:graphic>
                            </wp:inline>
                          </w:drawing>
                        </w:r>
                      </w:p>
                    </w:tc>
                  </w:tr>
                  <w:tr w:rsidR="00DC6FF2" w:rsidRPr="00DC6FF2" w:rsidTr="00DC6FF2">
                    <w:trPr>
                      <w:trHeight w:val="150"/>
                      <w:tblCellSpacing w:w="0" w:type="dxa"/>
                      <w:jc w:val="center"/>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bl>
                <w:p w:rsidR="00DC6FF2" w:rsidRPr="00DC6FF2" w:rsidRDefault="00DC6FF2" w:rsidP="00DC6FF2">
                  <w:pPr>
                    <w:spacing w:after="0" w:line="240" w:lineRule="auto"/>
                    <w:jc w:val="center"/>
                    <w:rPr>
                      <w:rFonts w:ascii="inherit" w:eastAsia="Times New Roman" w:hAnsi="inherit" w:cs="Times New Roman"/>
                      <w:sz w:val="24"/>
                      <w:szCs w:val="24"/>
                      <w:lang w:eastAsia="en-GB"/>
                    </w:rPr>
                  </w:pPr>
                </w:p>
              </w:tc>
              <w:tc>
                <w:tcPr>
                  <w:tcW w:w="150" w:type="dxa"/>
                  <w:hideMark/>
                </w:tcPr>
                <w:p w:rsidR="00DC6FF2" w:rsidRPr="00DC6FF2" w:rsidRDefault="00DC6FF2" w:rsidP="00DC6FF2">
                  <w:pPr>
                    <w:spacing w:after="0" w:line="240" w:lineRule="auto"/>
                    <w:jc w:val="center"/>
                    <w:rPr>
                      <w:rFonts w:ascii="inherit" w:eastAsia="Times New Roman" w:hAnsi="inherit" w:cs="Times New Roman"/>
                      <w:sz w:val="24"/>
                      <w:szCs w:val="24"/>
                      <w:lang w:eastAsia="en-GB"/>
                    </w:rPr>
                  </w:pPr>
                  <w:r w:rsidRPr="00DC6FF2">
                    <w:rPr>
                      <w:rFonts w:ascii="inherit" w:eastAsia="Times New Roman" w:hAnsi="inherit" w:cs="Times New Roman"/>
                      <w:sz w:val="24"/>
                      <w:szCs w:val="24"/>
                      <w:lang w:eastAsia="en-GB"/>
                    </w:rPr>
                    <w:t> </w:t>
                  </w:r>
                </w:p>
              </w:tc>
            </w:tr>
          </w:tbl>
          <w:p w:rsidR="00DC6FF2" w:rsidRPr="00DC6FF2" w:rsidRDefault="00DC6FF2" w:rsidP="00DC6FF2">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DC6FF2" w:rsidRPr="00DC6FF2" w:rsidTr="00DC6FF2">
              <w:trPr>
                <w:trHeight w:val="150"/>
                <w:tblCellSpacing w:w="0" w:type="dxa"/>
                <w:jc w:val="center"/>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r w:rsidR="00DC6FF2" w:rsidRPr="00DC6FF2" w:rsidTr="00DC6FF2">
              <w:trPr>
                <w:tblCellSpacing w:w="0" w:type="dxa"/>
                <w:jc w:val="center"/>
              </w:trPr>
              <w:tc>
                <w:tcPr>
                  <w:tcW w:w="0" w:type="auto"/>
                  <w:hideMark/>
                </w:tcPr>
                <w:p w:rsidR="00DC6FF2" w:rsidRPr="00DC6FF2" w:rsidRDefault="00DC6FF2" w:rsidP="00DC6FF2">
                  <w:pPr>
                    <w:spacing w:before="100" w:beforeAutospacing="1" w:after="100" w:afterAutospacing="1" w:line="240" w:lineRule="auto"/>
                    <w:rPr>
                      <w:rFonts w:ascii="Arial" w:eastAsia="Times New Roman" w:hAnsi="Arial" w:cs="Arial"/>
                      <w:color w:val="000001"/>
                      <w:sz w:val="21"/>
                      <w:szCs w:val="21"/>
                      <w:lang w:eastAsia="en-GB"/>
                    </w:rPr>
                  </w:pPr>
                  <w:r w:rsidRPr="00DC6FF2">
                    <w:rPr>
                      <w:rFonts w:ascii="Arial" w:eastAsia="Times New Roman" w:hAnsi="Arial" w:cs="Arial"/>
                      <w:color w:val="000001"/>
                      <w:sz w:val="21"/>
                      <w:szCs w:val="21"/>
                      <w:lang w:eastAsia="en-GB"/>
                    </w:rPr>
                    <w:t>Those investors who keep a close eye on the ever changing value of their investments, may be wondering what’s going on with the international stock markets.  Some up some down, like a seesaw.</w:t>
                  </w:r>
                  <w:r w:rsidRPr="00DC6FF2">
                    <w:rPr>
                      <w:rFonts w:ascii="Arial" w:eastAsia="Times New Roman" w:hAnsi="Arial" w:cs="Arial"/>
                      <w:color w:val="000001"/>
                      <w:sz w:val="21"/>
                      <w:szCs w:val="21"/>
                      <w:lang w:eastAsia="en-GB"/>
                    </w:rPr>
                    <w:br/>
                    <w:t>Some may have noticed that although the overall value of their total investments or pensions may have remained steady or even gone up a little, their American holdings may have dipped somewhat over the last couple of months. </w:t>
                  </w:r>
                </w:p>
              </w:tc>
            </w:tr>
            <w:tr w:rsidR="00DC6FF2" w:rsidRPr="00DC6FF2" w:rsidTr="00DC6FF2">
              <w:trPr>
                <w:trHeight w:val="150"/>
                <w:tblCellSpacing w:w="0" w:type="dxa"/>
                <w:jc w:val="center"/>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bl>
          <w:p w:rsidR="00DC6FF2" w:rsidRPr="00DC6FF2" w:rsidRDefault="00DC6FF2" w:rsidP="00DC6FF2">
            <w:pPr>
              <w:spacing w:after="0" w:line="240" w:lineRule="auto"/>
              <w:jc w:val="center"/>
              <w:rPr>
                <w:rFonts w:ascii="inherit" w:eastAsia="Times New Roman" w:hAnsi="inherit" w:cs="Times New Roman"/>
                <w:vanish/>
                <w:sz w:val="24"/>
                <w:szCs w:val="24"/>
                <w:lang w:eastAsia="en-GB"/>
              </w:rPr>
            </w:pPr>
          </w:p>
          <w:tbl>
            <w:tblPr>
              <w:tblW w:w="5000" w:type="pct"/>
              <w:jc w:val="center"/>
              <w:tblCellSpacing w:w="0" w:type="dxa"/>
              <w:tblCellMar>
                <w:left w:w="0" w:type="dxa"/>
                <w:right w:w="0" w:type="dxa"/>
              </w:tblCellMar>
              <w:tblLook w:val="04A0" w:firstRow="1" w:lastRow="0" w:firstColumn="1" w:lastColumn="0" w:noHBand="0" w:noVBand="1"/>
            </w:tblPr>
            <w:tblGrid>
              <w:gridCol w:w="9026"/>
            </w:tblGrid>
            <w:tr w:rsidR="00DC6FF2" w:rsidRPr="00DC6FF2" w:rsidTr="00DC6FF2">
              <w:trPr>
                <w:tblCellSpacing w:w="0" w:type="dxa"/>
                <w:jc w:val="center"/>
              </w:trPr>
              <w:tc>
                <w:tcPr>
                  <w:tcW w:w="0" w:type="auto"/>
                  <w:hideMark/>
                </w:tcPr>
                <w:p w:rsidR="00DC6FF2" w:rsidRPr="00DC6FF2" w:rsidRDefault="00DC6FF2" w:rsidP="00DC6FF2">
                  <w:pPr>
                    <w:spacing w:after="0" w:line="240" w:lineRule="auto"/>
                    <w:jc w:val="center"/>
                    <w:rPr>
                      <w:rFonts w:ascii="inherit" w:eastAsia="Times New Roman" w:hAnsi="inherit" w:cs="Times New Roman"/>
                      <w:sz w:val="24"/>
                      <w:szCs w:val="24"/>
                      <w:lang w:eastAsia="en-GB"/>
                    </w:rPr>
                  </w:pPr>
                  <w:r w:rsidRPr="00DC6FF2">
                    <w:rPr>
                      <w:rFonts w:ascii="inherit" w:eastAsia="Times New Roman" w:hAnsi="inherit" w:cs="Times New Roman"/>
                      <w:noProof/>
                      <w:sz w:val="24"/>
                      <w:szCs w:val="24"/>
                      <w:lang w:eastAsia="en-GB"/>
                    </w:rPr>
                    <w:drawing>
                      <wp:inline distT="0" distB="0" distL="0" distR="0" wp14:anchorId="5E645011" wp14:editId="63DD7C65">
                        <wp:extent cx="6098540" cy="3546475"/>
                        <wp:effectExtent l="0" t="0" r="0" b="0"/>
                        <wp:docPr id="6" name="Picture 6"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8540" cy="3546475"/>
                                </a:xfrm>
                                <a:prstGeom prst="rect">
                                  <a:avLst/>
                                </a:prstGeom>
                                <a:noFill/>
                                <a:ln>
                                  <a:noFill/>
                                </a:ln>
                              </pic:spPr>
                            </pic:pic>
                          </a:graphicData>
                        </a:graphic>
                      </wp:inline>
                    </w:drawing>
                  </w:r>
                </w:p>
              </w:tc>
            </w:tr>
            <w:tr w:rsidR="00DC6FF2" w:rsidRPr="00DC6FF2" w:rsidTr="00DC6FF2">
              <w:trPr>
                <w:trHeight w:val="150"/>
                <w:tblCellSpacing w:w="0" w:type="dxa"/>
                <w:jc w:val="center"/>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bl>
          <w:p w:rsidR="00DC6FF2" w:rsidRPr="00DC6FF2" w:rsidRDefault="00DC6FF2" w:rsidP="00DC6FF2">
            <w:pPr>
              <w:spacing w:after="0" w:line="240" w:lineRule="auto"/>
              <w:jc w:val="center"/>
              <w:rPr>
                <w:rFonts w:ascii="inherit" w:eastAsia="Times New Roman" w:hAnsi="inherit" w:cs="Times New Roman"/>
                <w:sz w:val="24"/>
                <w:szCs w:val="24"/>
                <w:lang w:eastAsia="en-GB"/>
              </w:rPr>
            </w:pPr>
          </w:p>
        </w:tc>
      </w:tr>
      <w:tr w:rsidR="00DC6FF2" w:rsidRPr="00DC6FF2" w:rsidTr="00DC6FF2">
        <w:trPr>
          <w:trHeight w:val="150"/>
          <w:tblCellSpacing w:w="0" w:type="dxa"/>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bl>
    <w:p w:rsidR="00DC6FF2" w:rsidRPr="00DC6FF2" w:rsidRDefault="00DC6FF2" w:rsidP="00DC6FF2">
      <w:pPr>
        <w:shd w:val="clear" w:color="auto" w:fill="F4F4F4"/>
        <w:spacing w:after="0" w:line="240" w:lineRule="auto"/>
        <w:rPr>
          <w:rFonts w:ascii="Arial" w:eastAsia="Times New Roman" w:hAnsi="Arial" w:cs="Arial"/>
          <w:vanish/>
          <w:color w:val="000001"/>
          <w:sz w:val="21"/>
          <w:szCs w:val="21"/>
          <w:lang w:eastAsia="en-GB"/>
        </w:rPr>
      </w:pPr>
    </w:p>
    <w:tbl>
      <w:tblPr>
        <w:tblW w:w="5000" w:type="pct"/>
        <w:tblCellSpacing w:w="0" w:type="dxa"/>
        <w:tblCellMar>
          <w:left w:w="0" w:type="dxa"/>
          <w:right w:w="0" w:type="dxa"/>
        </w:tblCellMar>
        <w:tblLook w:val="04A0" w:firstRow="1" w:lastRow="0" w:firstColumn="1" w:lastColumn="0" w:noHBand="0" w:noVBand="1"/>
      </w:tblPr>
      <w:tblGrid>
        <w:gridCol w:w="150"/>
        <w:gridCol w:w="8726"/>
        <w:gridCol w:w="150"/>
      </w:tblGrid>
      <w:tr w:rsidR="00DC6FF2" w:rsidRPr="00DC6FF2" w:rsidTr="00DC6FF2">
        <w:trPr>
          <w:tblCellSpacing w:w="0" w:type="dxa"/>
        </w:trPr>
        <w:tc>
          <w:tcPr>
            <w:tcW w:w="150" w:type="dxa"/>
            <w:hideMark/>
          </w:tcPr>
          <w:p w:rsidR="00DC6FF2" w:rsidRPr="00DC6FF2" w:rsidRDefault="00DC6FF2" w:rsidP="00DC6FF2">
            <w:pPr>
              <w:spacing w:after="0" w:line="240" w:lineRule="auto"/>
              <w:jc w:val="center"/>
              <w:rPr>
                <w:rFonts w:ascii="inherit" w:eastAsia="Times New Roman" w:hAnsi="inherit" w:cs="Times New Roman"/>
                <w:sz w:val="24"/>
                <w:szCs w:val="24"/>
                <w:lang w:eastAsia="en-GB"/>
              </w:rPr>
            </w:pPr>
            <w:r w:rsidRPr="00DC6FF2">
              <w:rPr>
                <w:rFonts w:ascii="inherit" w:eastAsia="Times New Roman" w:hAnsi="inherit" w:cs="Times New Roman"/>
                <w:sz w:val="24"/>
                <w:szCs w:val="24"/>
                <w:lang w:eastAsia="en-GB"/>
              </w:rPr>
              <w:t> </w:t>
            </w:r>
          </w:p>
        </w:tc>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8726"/>
            </w:tblGrid>
            <w:tr w:rsidR="00DC6FF2" w:rsidRPr="00DC6FF2" w:rsidTr="00DC6FF2">
              <w:trPr>
                <w:tblCellSpacing w:w="0" w:type="dxa"/>
                <w:jc w:val="center"/>
              </w:trPr>
              <w:tc>
                <w:tcPr>
                  <w:tcW w:w="0" w:type="auto"/>
                  <w:hideMark/>
                </w:tcPr>
                <w:p w:rsidR="00DC6FF2" w:rsidRPr="00DC6FF2" w:rsidRDefault="00DC6FF2" w:rsidP="00DC6FF2">
                  <w:pPr>
                    <w:spacing w:after="240" w:line="240" w:lineRule="auto"/>
                    <w:rPr>
                      <w:rFonts w:ascii="Arial" w:eastAsia="Times New Roman" w:hAnsi="Arial" w:cs="Arial"/>
                      <w:color w:val="000001"/>
                      <w:sz w:val="21"/>
                      <w:szCs w:val="21"/>
                      <w:lang w:eastAsia="en-GB"/>
                    </w:rPr>
                  </w:pPr>
                  <w:r w:rsidRPr="00DC6FF2">
                    <w:rPr>
                      <w:rFonts w:ascii="Arial" w:eastAsia="Times New Roman" w:hAnsi="Arial" w:cs="Arial"/>
                      <w:color w:val="000001"/>
                      <w:sz w:val="21"/>
                      <w:szCs w:val="21"/>
                      <w:lang w:eastAsia="en-GB"/>
                    </w:rPr>
                    <w:br/>
                    <w:t xml:space="preserve">At this time all the international markets are going through a change or correction and this is due to many factors.  Here is the main cause.  The pandemic caused lockdowns, stay at home, </w:t>
                  </w:r>
                  <w:proofErr w:type="gramStart"/>
                  <w:r w:rsidRPr="00DC6FF2">
                    <w:rPr>
                      <w:rFonts w:ascii="Arial" w:eastAsia="Times New Roman" w:hAnsi="Arial" w:cs="Arial"/>
                      <w:color w:val="000001"/>
                      <w:sz w:val="21"/>
                      <w:szCs w:val="21"/>
                      <w:lang w:eastAsia="en-GB"/>
                    </w:rPr>
                    <w:t>watch</w:t>
                  </w:r>
                  <w:proofErr w:type="gramEnd"/>
                  <w:r w:rsidRPr="00DC6FF2">
                    <w:rPr>
                      <w:rFonts w:ascii="Arial" w:eastAsia="Times New Roman" w:hAnsi="Arial" w:cs="Arial"/>
                      <w:color w:val="000001"/>
                      <w:sz w:val="21"/>
                      <w:szCs w:val="21"/>
                      <w:lang w:eastAsia="en-GB"/>
                    </w:rPr>
                    <w:t xml:space="preserve"> TV, films, shop on line, work from home, meetings by internet.  This increased the growth of companies such as Netflix, Amazon, Microsoft, Google, all types of Tech shares of mainly US companies listed on the </w:t>
                  </w:r>
                  <w:r w:rsidRPr="00DC6FF2">
                    <w:rPr>
                      <w:rFonts w:ascii="Arial" w:eastAsia="Times New Roman" w:hAnsi="Arial" w:cs="Arial"/>
                      <w:b/>
                      <w:bCs/>
                      <w:color w:val="000001"/>
                      <w:sz w:val="21"/>
                      <w:szCs w:val="21"/>
                      <w:lang w:eastAsia="en-GB"/>
                    </w:rPr>
                    <w:t>Nasdaq Index</w:t>
                  </w:r>
                  <w:r w:rsidRPr="00DC6FF2">
                    <w:rPr>
                      <w:rFonts w:ascii="Arial" w:eastAsia="Times New Roman" w:hAnsi="Arial" w:cs="Arial"/>
                      <w:color w:val="000001"/>
                      <w:sz w:val="21"/>
                      <w:szCs w:val="21"/>
                      <w:lang w:eastAsia="en-GB"/>
                    </w:rPr>
                    <w:t xml:space="preserve"> (see graph).  American Investment </w:t>
                  </w:r>
                  <w:r w:rsidRPr="00DC6FF2">
                    <w:rPr>
                      <w:rFonts w:ascii="Arial" w:eastAsia="Times New Roman" w:hAnsi="Arial" w:cs="Arial"/>
                      <w:color w:val="000001"/>
                      <w:sz w:val="21"/>
                      <w:szCs w:val="21"/>
                      <w:lang w:eastAsia="en-GB"/>
                    </w:rPr>
                    <w:lastRenderedPageBreak/>
                    <w:t>Funds which have been mainly invested in the Nasdaq Index increased in performance and hence the value of our investments and pensions went up.    Conversely, the value of shares such as airlines, aircraft and car manufacturers, and generally companies that actually make things went down, because they could not sell their products due to the pandemic.</w:t>
                  </w:r>
                  <w:r w:rsidRPr="00DC6FF2">
                    <w:rPr>
                      <w:rFonts w:ascii="Arial" w:eastAsia="Times New Roman" w:hAnsi="Arial" w:cs="Arial"/>
                      <w:color w:val="000001"/>
                      <w:sz w:val="21"/>
                      <w:szCs w:val="21"/>
                      <w:lang w:eastAsia="en-GB"/>
                    </w:rPr>
                    <w:br/>
                    <w:t> </w:t>
                  </w:r>
                  <w:r w:rsidRPr="00DC6FF2">
                    <w:rPr>
                      <w:rFonts w:ascii="Arial" w:eastAsia="Times New Roman" w:hAnsi="Arial" w:cs="Arial"/>
                      <w:color w:val="000001"/>
                      <w:sz w:val="21"/>
                      <w:szCs w:val="21"/>
                      <w:lang w:eastAsia="en-GB"/>
                    </w:rPr>
                    <w:br/>
                    <w:t>Now that the pandemic is coming to an end (hopefully) the tech shares are going down in value and as a consequence the performance of those American Funds invested in tech shares has been falling over the past 3 to 6 months.</w:t>
                  </w:r>
                </w:p>
              </w:tc>
            </w:tr>
            <w:tr w:rsidR="00DC6FF2" w:rsidRPr="00DC6FF2" w:rsidTr="00DC6FF2">
              <w:trPr>
                <w:trHeight w:val="150"/>
                <w:tblCellSpacing w:w="0" w:type="dxa"/>
                <w:jc w:val="center"/>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lastRenderedPageBreak/>
                    <w:t> </w:t>
                  </w:r>
                </w:p>
              </w:tc>
            </w:tr>
          </w:tbl>
          <w:p w:rsidR="00DC6FF2" w:rsidRPr="00DC6FF2" w:rsidRDefault="00DC6FF2" w:rsidP="00DC6FF2">
            <w:pPr>
              <w:spacing w:after="0" w:line="240" w:lineRule="auto"/>
              <w:jc w:val="center"/>
              <w:rPr>
                <w:rFonts w:ascii="inherit" w:eastAsia="Times New Roman" w:hAnsi="inherit" w:cs="Times New Roman"/>
                <w:sz w:val="24"/>
                <w:szCs w:val="24"/>
                <w:lang w:eastAsia="en-GB"/>
              </w:rPr>
            </w:pPr>
          </w:p>
        </w:tc>
        <w:tc>
          <w:tcPr>
            <w:tcW w:w="150" w:type="dxa"/>
            <w:hideMark/>
          </w:tcPr>
          <w:p w:rsidR="00DC6FF2" w:rsidRPr="00DC6FF2" w:rsidRDefault="00DC6FF2" w:rsidP="00DC6FF2">
            <w:pPr>
              <w:spacing w:after="0" w:line="240" w:lineRule="auto"/>
              <w:jc w:val="center"/>
              <w:rPr>
                <w:rFonts w:ascii="inherit" w:eastAsia="Times New Roman" w:hAnsi="inherit" w:cs="Times New Roman"/>
                <w:sz w:val="24"/>
                <w:szCs w:val="24"/>
                <w:lang w:eastAsia="en-GB"/>
              </w:rPr>
            </w:pPr>
            <w:r w:rsidRPr="00DC6FF2">
              <w:rPr>
                <w:rFonts w:ascii="inherit" w:eastAsia="Times New Roman" w:hAnsi="inherit" w:cs="Times New Roman"/>
                <w:sz w:val="24"/>
                <w:szCs w:val="24"/>
                <w:lang w:eastAsia="en-GB"/>
              </w:rPr>
              <w:lastRenderedPageBreak/>
              <w:t> </w:t>
            </w:r>
          </w:p>
        </w:tc>
      </w:tr>
    </w:tbl>
    <w:p w:rsidR="00DC6FF2" w:rsidRPr="00DC6FF2" w:rsidRDefault="00DC6FF2" w:rsidP="00DC6FF2">
      <w:pPr>
        <w:shd w:val="clear" w:color="auto" w:fill="F4F4F4"/>
        <w:spacing w:after="0" w:line="240" w:lineRule="auto"/>
        <w:rPr>
          <w:rFonts w:ascii="Arial" w:eastAsia="Times New Roman" w:hAnsi="Arial" w:cs="Arial"/>
          <w:vanish/>
          <w:color w:val="000001"/>
          <w:sz w:val="21"/>
          <w:szCs w:val="21"/>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DC6FF2" w:rsidRPr="00DC6FF2" w:rsidTr="00DC6FF2">
        <w:trPr>
          <w:trHeight w:val="150"/>
          <w:tblCellSpacing w:w="0" w:type="dxa"/>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bl>
    <w:p w:rsidR="00DC6FF2" w:rsidRPr="00DC6FF2" w:rsidRDefault="00DC6FF2" w:rsidP="00DC6FF2">
      <w:pPr>
        <w:shd w:val="clear" w:color="auto" w:fill="F4F4F4"/>
        <w:spacing w:after="0" w:line="240" w:lineRule="auto"/>
        <w:rPr>
          <w:rFonts w:ascii="Arial" w:eastAsia="Times New Roman" w:hAnsi="Arial" w:cs="Arial"/>
          <w:vanish/>
          <w:color w:val="000001"/>
          <w:sz w:val="21"/>
          <w:szCs w:val="21"/>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DC6FF2" w:rsidRPr="00DC6FF2" w:rsidTr="00DC6FF2">
        <w:trPr>
          <w:tblCellSpacing w:w="0" w:type="dxa"/>
        </w:trPr>
        <w:tc>
          <w:tcPr>
            <w:tcW w:w="0" w:type="auto"/>
            <w:hideMark/>
          </w:tcPr>
          <w:p w:rsidR="00DC6FF2" w:rsidRPr="00DC6FF2" w:rsidRDefault="00DC6FF2" w:rsidP="00DC6FF2">
            <w:pPr>
              <w:spacing w:after="0" w:line="240" w:lineRule="auto"/>
              <w:jc w:val="center"/>
              <w:divId w:val="1783302153"/>
              <w:rPr>
                <w:rFonts w:ascii="inherit" w:eastAsia="Times New Roman" w:hAnsi="inherit" w:cs="Times New Roman"/>
                <w:sz w:val="24"/>
                <w:szCs w:val="24"/>
                <w:lang w:eastAsia="en-GB"/>
              </w:rPr>
            </w:pPr>
            <w:r w:rsidRPr="00DC6FF2">
              <w:rPr>
                <w:rFonts w:ascii="inherit" w:eastAsia="Times New Roman" w:hAnsi="inherit" w:cs="Times New Roman"/>
                <w:noProof/>
                <w:sz w:val="24"/>
                <w:szCs w:val="24"/>
                <w:lang w:eastAsia="en-GB"/>
              </w:rPr>
              <w:drawing>
                <wp:inline distT="0" distB="0" distL="0" distR="0" wp14:anchorId="49609123" wp14:editId="733C4131">
                  <wp:extent cx="6098540" cy="3458845"/>
                  <wp:effectExtent l="0" t="0" r="0" b="8255"/>
                  <wp:docPr id="7" name="Picture 7"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8540" cy="3458845"/>
                          </a:xfrm>
                          <a:prstGeom prst="rect">
                            <a:avLst/>
                          </a:prstGeom>
                          <a:noFill/>
                          <a:ln>
                            <a:noFill/>
                          </a:ln>
                        </pic:spPr>
                      </pic:pic>
                    </a:graphicData>
                  </a:graphic>
                </wp:inline>
              </w:drawing>
            </w:r>
          </w:p>
        </w:tc>
      </w:tr>
      <w:tr w:rsidR="00DC6FF2" w:rsidRPr="00DC6FF2" w:rsidTr="00DC6FF2">
        <w:trPr>
          <w:trHeight w:val="150"/>
          <w:tblCellSpacing w:w="0" w:type="dxa"/>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r w:rsidR="00DC6FF2" w:rsidRPr="00DC6FF2" w:rsidTr="00DC6FF2">
        <w:trPr>
          <w:tblCellSpacing w:w="0" w:type="dxa"/>
        </w:trPr>
        <w:tc>
          <w:tcPr>
            <w:tcW w:w="0" w:type="auto"/>
            <w:hideMark/>
          </w:tcPr>
          <w:p w:rsidR="00DC6FF2" w:rsidRPr="00DC6FF2" w:rsidRDefault="00DC6FF2" w:rsidP="00DC6FF2">
            <w:pPr>
              <w:spacing w:after="0" w:line="240" w:lineRule="auto"/>
              <w:rPr>
                <w:rFonts w:ascii="Arial" w:eastAsia="Times New Roman" w:hAnsi="Arial" w:cs="Arial"/>
                <w:color w:val="000001"/>
                <w:sz w:val="21"/>
                <w:szCs w:val="21"/>
                <w:lang w:eastAsia="en-GB"/>
              </w:rPr>
            </w:pPr>
          </w:p>
        </w:tc>
      </w:tr>
      <w:tr w:rsidR="00DC6FF2" w:rsidRPr="00DC6FF2" w:rsidTr="00DC6FF2">
        <w:trPr>
          <w:trHeight w:val="150"/>
          <w:tblCellSpacing w:w="0" w:type="dxa"/>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t> </w:t>
            </w:r>
          </w:p>
        </w:tc>
      </w:tr>
    </w:tbl>
    <w:p w:rsidR="00DC6FF2" w:rsidRPr="00DC6FF2" w:rsidRDefault="00DC6FF2" w:rsidP="00DC6FF2">
      <w:pPr>
        <w:shd w:val="clear" w:color="auto" w:fill="F4F4F4"/>
        <w:spacing w:after="0" w:line="240" w:lineRule="auto"/>
        <w:rPr>
          <w:rFonts w:ascii="Arial" w:eastAsia="Times New Roman" w:hAnsi="Arial" w:cs="Arial"/>
          <w:vanish/>
          <w:color w:val="000001"/>
          <w:sz w:val="21"/>
          <w:szCs w:val="21"/>
          <w:lang w:eastAsia="en-GB"/>
        </w:rPr>
      </w:pPr>
    </w:p>
    <w:tbl>
      <w:tblPr>
        <w:tblW w:w="5000" w:type="pct"/>
        <w:tblCellSpacing w:w="0" w:type="dxa"/>
        <w:tblCellMar>
          <w:left w:w="0" w:type="dxa"/>
          <w:right w:w="0" w:type="dxa"/>
        </w:tblCellMar>
        <w:tblLook w:val="04A0" w:firstRow="1" w:lastRow="0" w:firstColumn="1" w:lastColumn="0" w:noHBand="0" w:noVBand="1"/>
      </w:tblPr>
      <w:tblGrid>
        <w:gridCol w:w="9026"/>
      </w:tblGrid>
      <w:tr w:rsidR="00DC6FF2" w:rsidRPr="00DC6FF2" w:rsidTr="00DC6FF2">
        <w:trPr>
          <w:tblCellSpacing w:w="0" w:type="dxa"/>
        </w:trPr>
        <w:tc>
          <w:tcPr>
            <w:tcW w:w="0" w:type="auto"/>
            <w:hideMark/>
          </w:tcPr>
          <w:p w:rsidR="00DC6FF2" w:rsidRPr="00DC6FF2" w:rsidRDefault="00DC6FF2" w:rsidP="00DC6FF2">
            <w:pPr>
              <w:spacing w:after="0" w:line="240" w:lineRule="auto"/>
              <w:jc w:val="center"/>
              <w:divId w:val="1661229705"/>
              <w:rPr>
                <w:rFonts w:ascii="inherit" w:eastAsia="Times New Roman" w:hAnsi="inherit" w:cs="Times New Roman"/>
                <w:sz w:val="24"/>
                <w:szCs w:val="24"/>
                <w:lang w:eastAsia="en-GB"/>
              </w:rPr>
            </w:pPr>
            <w:r w:rsidRPr="00DC6FF2">
              <w:rPr>
                <w:rFonts w:ascii="inherit" w:eastAsia="Times New Roman" w:hAnsi="inherit" w:cs="Times New Roman"/>
                <w:noProof/>
                <w:sz w:val="24"/>
                <w:szCs w:val="24"/>
                <w:lang w:eastAsia="en-GB"/>
              </w:rPr>
              <w:drawing>
                <wp:inline distT="0" distB="0" distL="0" distR="0" wp14:anchorId="18ACDA50" wp14:editId="580F102D">
                  <wp:extent cx="6098540" cy="3546475"/>
                  <wp:effectExtent l="0" t="0" r="0" b="0"/>
                  <wp:docPr id="8" name="Picture 8"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98540" cy="3546475"/>
                          </a:xfrm>
                          <a:prstGeom prst="rect">
                            <a:avLst/>
                          </a:prstGeom>
                          <a:noFill/>
                          <a:ln>
                            <a:noFill/>
                          </a:ln>
                        </pic:spPr>
                      </pic:pic>
                    </a:graphicData>
                  </a:graphic>
                </wp:inline>
              </w:drawing>
            </w:r>
          </w:p>
        </w:tc>
      </w:tr>
      <w:tr w:rsidR="00DC6FF2" w:rsidRPr="00DC6FF2" w:rsidTr="00DC6FF2">
        <w:trPr>
          <w:trHeight w:val="150"/>
          <w:tblCellSpacing w:w="0" w:type="dxa"/>
        </w:trPr>
        <w:tc>
          <w:tcPr>
            <w:tcW w:w="0" w:type="auto"/>
            <w:vAlign w:val="center"/>
            <w:hideMark/>
          </w:tcPr>
          <w:p w:rsidR="00DC6FF2" w:rsidRPr="00DC6FF2" w:rsidRDefault="00DC6FF2" w:rsidP="00DC6FF2">
            <w:pPr>
              <w:spacing w:after="0" w:line="150" w:lineRule="atLeast"/>
              <w:rPr>
                <w:rFonts w:ascii="inherit" w:eastAsia="Times New Roman" w:hAnsi="inherit" w:cs="Times New Roman"/>
                <w:sz w:val="15"/>
                <w:szCs w:val="15"/>
                <w:lang w:eastAsia="en-GB"/>
              </w:rPr>
            </w:pPr>
            <w:r w:rsidRPr="00DC6FF2">
              <w:rPr>
                <w:rFonts w:ascii="inherit" w:eastAsia="Times New Roman" w:hAnsi="inherit" w:cs="Times New Roman"/>
                <w:sz w:val="15"/>
                <w:szCs w:val="15"/>
                <w:lang w:eastAsia="en-GB"/>
              </w:rPr>
              <w:lastRenderedPageBreak/>
              <w:t> </w:t>
            </w:r>
            <w:bookmarkStart w:id="0" w:name="_GoBack"/>
            <w:bookmarkEnd w:id="0"/>
          </w:p>
        </w:tc>
      </w:tr>
      <w:tr w:rsidR="00DC6FF2" w:rsidRPr="00DC6FF2" w:rsidTr="00DC6FF2">
        <w:trPr>
          <w:tblCellSpacing w:w="0" w:type="dxa"/>
        </w:trPr>
        <w:tc>
          <w:tcPr>
            <w:tcW w:w="0" w:type="auto"/>
            <w:hideMark/>
          </w:tcPr>
          <w:p w:rsidR="00DC6FF2" w:rsidRPr="00DC6FF2" w:rsidRDefault="00DC6FF2" w:rsidP="00DC6FF2">
            <w:pPr>
              <w:spacing w:after="0" w:line="240" w:lineRule="auto"/>
              <w:rPr>
                <w:rFonts w:ascii="Arial" w:eastAsia="Times New Roman" w:hAnsi="Arial" w:cs="Arial"/>
                <w:color w:val="000001"/>
                <w:sz w:val="21"/>
                <w:szCs w:val="21"/>
                <w:lang w:eastAsia="en-GB"/>
              </w:rPr>
            </w:pPr>
            <w:r w:rsidRPr="00DC6FF2">
              <w:rPr>
                <w:rFonts w:ascii="Arial" w:eastAsia="Times New Roman" w:hAnsi="Arial" w:cs="Arial"/>
                <w:color w:val="000001"/>
                <w:sz w:val="21"/>
                <w:szCs w:val="21"/>
                <w:lang w:eastAsia="en-GB"/>
              </w:rPr>
              <w:t xml:space="preserve">However, </w:t>
            </w:r>
            <w:proofErr w:type="spellStart"/>
            <w:proofErr w:type="gramStart"/>
            <w:r w:rsidRPr="00DC6FF2">
              <w:rPr>
                <w:rFonts w:ascii="Arial" w:eastAsia="Times New Roman" w:hAnsi="Arial" w:cs="Arial"/>
                <w:color w:val="000001"/>
                <w:sz w:val="21"/>
                <w:szCs w:val="21"/>
                <w:lang w:eastAsia="en-GB"/>
              </w:rPr>
              <w:t>its</w:t>
            </w:r>
            <w:proofErr w:type="spellEnd"/>
            <w:proofErr w:type="gramEnd"/>
            <w:r w:rsidRPr="00DC6FF2">
              <w:rPr>
                <w:rFonts w:ascii="Arial" w:eastAsia="Times New Roman" w:hAnsi="Arial" w:cs="Arial"/>
                <w:color w:val="000001"/>
                <w:sz w:val="21"/>
                <w:szCs w:val="21"/>
                <w:lang w:eastAsia="en-GB"/>
              </w:rPr>
              <w:t xml:space="preserve"> not all bad news.  Look at what has been happening to the FT100 over the same period.  As you can see from the </w:t>
            </w:r>
            <w:r w:rsidRPr="00DC6FF2">
              <w:rPr>
                <w:rFonts w:ascii="Arial" w:eastAsia="Times New Roman" w:hAnsi="Arial" w:cs="Arial"/>
                <w:b/>
                <w:bCs/>
                <w:color w:val="000001"/>
                <w:sz w:val="21"/>
                <w:szCs w:val="21"/>
                <w:lang w:eastAsia="en-GB"/>
              </w:rPr>
              <w:t>(FT100 and FT350 Indices</w:t>
            </w:r>
            <w:r w:rsidRPr="00DC6FF2">
              <w:rPr>
                <w:rFonts w:ascii="Arial" w:eastAsia="Times New Roman" w:hAnsi="Arial" w:cs="Arial"/>
                <w:color w:val="000001"/>
                <w:sz w:val="21"/>
                <w:szCs w:val="21"/>
                <w:lang w:eastAsia="en-GB"/>
              </w:rPr>
              <w:t xml:space="preserve">), they have been going up quite nicely over the same period.  The reason is that the UK stock market, without many tech shares within the top 100 companies, suffered the opposite effect during the pandemic, but now that the markets can see an end is in sight and the world is buying into UK stocks.  As our </w:t>
            </w:r>
            <w:proofErr w:type="gramStart"/>
            <w:r w:rsidRPr="00DC6FF2">
              <w:rPr>
                <w:rFonts w:ascii="Arial" w:eastAsia="Times New Roman" w:hAnsi="Arial" w:cs="Arial"/>
                <w:color w:val="000001"/>
                <w:sz w:val="21"/>
                <w:szCs w:val="21"/>
                <w:lang w:eastAsia="en-GB"/>
              </w:rPr>
              <w:t>investors</w:t>
            </w:r>
            <w:proofErr w:type="gramEnd"/>
            <w:r w:rsidRPr="00DC6FF2">
              <w:rPr>
                <w:rFonts w:ascii="Arial" w:eastAsia="Times New Roman" w:hAnsi="Arial" w:cs="Arial"/>
                <w:color w:val="000001"/>
                <w:sz w:val="21"/>
                <w:szCs w:val="21"/>
                <w:lang w:eastAsia="en-GB"/>
              </w:rPr>
              <w:t xml:space="preserve"> pensions and investments are diversified over all the international markets, the recent fall in American Funds is being offset by the gains in the UK Funds. </w:t>
            </w:r>
            <w:r w:rsidRPr="00DC6FF2">
              <w:rPr>
                <w:rFonts w:ascii="Arial" w:eastAsia="Times New Roman" w:hAnsi="Arial" w:cs="Arial"/>
                <w:color w:val="000001"/>
                <w:sz w:val="21"/>
                <w:szCs w:val="21"/>
                <w:lang w:eastAsia="en-GB"/>
              </w:rPr>
              <w:br/>
              <w:t> </w:t>
            </w:r>
            <w:r w:rsidRPr="00DC6FF2">
              <w:rPr>
                <w:rFonts w:ascii="Arial" w:eastAsia="Times New Roman" w:hAnsi="Arial" w:cs="Arial"/>
                <w:color w:val="000001"/>
                <w:sz w:val="21"/>
                <w:szCs w:val="21"/>
                <w:lang w:eastAsia="en-GB"/>
              </w:rPr>
              <w:br/>
              <w:t>Take care, keep safe. It’s still out there.</w:t>
            </w:r>
            <w:r w:rsidRPr="00DC6FF2">
              <w:rPr>
                <w:rFonts w:ascii="Arial" w:eastAsia="Times New Roman" w:hAnsi="Arial" w:cs="Arial"/>
                <w:color w:val="000001"/>
                <w:sz w:val="21"/>
                <w:szCs w:val="21"/>
                <w:lang w:eastAsia="en-GB"/>
              </w:rPr>
              <w:br/>
              <w:t> </w:t>
            </w:r>
            <w:r w:rsidRPr="00DC6FF2">
              <w:rPr>
                <w:rFonts w:ascii="Arial" w:eastAsia="Times New Roman" w:hAnsi="Arial" w:cs="Arial"/>
                <w:color w:val="000001"/>
                <w:sz w:val="21"/>
                <w:szCs w:val="21"/>
                <w:lang w:eastAsia="en-GB"/>
              </w:rPr>
              <w:br/>
              <w:t>Ray</w:t>
            </w:r>
          </w:p>
        </w:tc>
      </w:tr>
    </w:tbl>
    <w:p w:rsidR="004057C7" w:rsidRDefault="004057C7"/>
    <w:sectPr w:rsidR="004057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F2"/>
    <w:rsid w:val="004057C7"/>
    <w:rsid w:val="00DC6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C2BB9-3CE7-43D8-993B-C5162481F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3985515">
      <w:bodyDiv w:val="1"/>
      <w:marLeft w:val="0"/>
      <w:marRight w:val="0"/>
      <w:marTop w:val="0"/>
      <w:marBottom w:val="0"/>
      <w:divBdr>
        <w:top w:val="none" w:sz="0" w:space="0" w:color="auto"/>
        <w:left w:val="none" w:sz="0" w:space="0" w:color="auto"/>
        <w:bottom w:val="none" w:sz="0" w:space="0" w:color="auto"/>
        <w:right w:val="none" w:sz="0" w:space="0" w:color="auto"/>
      </w:divBdr>
      <w:divsChild>
        <w:div w:id="816534283">
          <w:marLeft w:val="0"/>
          <w:marRight w:val="0"/>
          <w:marTop w:val="0"/>
          <w:marBottom w:val="0"/>
          <w:divBdr>
            <w:top w:val="none" w:sz="0" w:space="0" w:color="auto"/>
            <w:left w:val="none" w:sz="0" w:space="0" w:color="auto"/>
            <w:bottom w:val="none" w:sz="0" w:space="0" w:color="auto"/>
            <w:right w:val="none" w:sz="0" w:space="0" w:color="auto"/>
          </w:divBdr>
          <w:divsChild>
            <w:div w:id="1026760627">
              <w:marLeft w:val="0"/>
              <w:marRight w:val="0"/>
              <w:marTop w:val="0"/>
              <w:marBottom w:val="0"/>
              <w:divBdr>
                <w:top w:val="none" w:sz="0" w:space="0" w:color="auto"/>
                <w:left w:val="none" w:sz="0" w:space="0" w:color="auto"/>
                <w:bottom w:val="none" w:sz="0" w:space="0" w:color="auto"/>
                <w:right w:val="none" w:sz="0" w:space="0" w:color="auto"/>
              </w:divBdr>
              <w:divsChild>
                <w:div w:id="553543657">
                  <w:marLeft w:val="0"/>
                  <w:marRight w:val="0"/>
                  <w:marTop w:val="0"/>
                  <w:marBottom w:val="0"/>
                  <w:divBdr>
                    <w:top w:val="none" w:sz="0" w:space="0" w:color="auto"/>
                    <w:left w:val="none" w:sz="0" w:space="0" w:color="auto"/>
                    <w:bottom w:val="none" w:sz="0" w:space="0" w:color="auto"/>
                    <w:right w:val="none" w:sz="0" w:space="0" w:color="auto"/>
                  </w:divBdr>
                  <w:divsChild>
                    <w:div w:id="1736312905">
                      <w:marLeft w:val="0"/>
                      <w:marRight w:val="0"/>
                      <w:marTop w:val="0"/>
                      <w:marBottom w:val="0"/>
                      <w:divBdr>
                        <w:top w:val="none" w:sz="0" w:space="0" w:color="auto"/>
                        <w:left w:val="none" w:sz="0" w:space="0" w:color="auto"/>
                        <w:bottom w:val="none" w:sz="0" w:space="0" w:color="auto"/>
                        <w:right w:val="none" w:sz="0" w:space="0" w:color="auto"/>
                      </w:divBdr>
                      <w:divsChild>
                        <w:div w:id="1738555057">
                          <w:marLeft w:val="0"/>
                          <w:marRight w:val="0"/>
                          <w:marTop w:val="0"/>
                          <w:marBottom w:val="0"/>
                          <w:divBdr>
                            <w:top w:val="none" w:sz="0" w:space="0" w:color="auto"/>
                            <w:left w:val="none" w:sz="0" w:space="0" w:color="auto"/>
                            <w:bottom w:val="none" w:sz="0" w:space="0" w:color="auto"/>
                            <w:right w:val="none" w:sz="0" w:space="0" w:color="auto"/>
                          </w:divBdr>
                          <w:divsChild>
                            <w:div w:id="1411538808">
                              <w:marLeft w:val="0"/>
                              <w:marRight w:val="0"/>
                              <w:marTop w:val="0"/>
                              <w:marBottom w:val="0"/>
                              <w:divBdr>
                                <w:top w:val="none" w:sz="0" w:space="0" w:color="auto"/>
                                <w:left w:val="none" w:sz="0" w:space="0" w:color="auto"/>
                                <w:bottom w:val="none" w:sz="0" w:space="0" w:color="auto"/>
                                <w:right w:val="none" w:sz="0" w:space="0" w:color="auto"/>
                              </w:divBdr>
                            </w:div>
                          </w:divsChild>
                        </w:div>
                        <w:div w:id="727648713">
                          <w:marLeft w:val="0"/>
                          <w:marRight w:val="0"/>
                          <w:marTop w:val="0"/>
                          <w:marBottom w:val="0"/>
                          <w:divBdr>
                            <w:top w:val="none" w:sz="0" w:space="0" w:color="auto"/>
                            <w:left w:val="none" w:sz="0" w:space="0" w:color="auto"/>
                            <w:bottom w:val="none" w:sz="0" w:space="0" w:color="auto"/>
                            <w:right w:val="none" w:sz="0" w:space="0" w:color="auto"/>
                          </w:divBdr>
                          <w:divsChild>
                            <w:div w:id="80879562">
                              <w:marLeft w:val="0"/>
                              <w:marRight w:val="0"/>
                              <w:marTop w:val="0"/>
                              <w:marBottom w:val="0"/>
                              <w:divBdr>
                                <w:top w:val="none" w:sz="0" w:space="0" w:color="auto"/>
                                <w:left w:val="none" w:sz="0" w:space="0" w:color="auto"/>
                                <w:bottom w:val="none" w:sz="0" w:space="0" w:color="auto"/>
                                <w:right w:val="none" w:sz="0" w:space="0" w:color="auto"/>
                              </w:divBdr>
                              <w:divsChild>
                                <w:div w:id="75585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679461">
                  <w:marLeft w:val="0"/>
                  <w:marRight w:val="0"/>
                  <w:marTop w:val="0"/>
                  <w:marBottom w:val="0"/>
                  <w:divBdr>
                    <w:top w:val="none" w:sz="0" w:space="0" w:color="auto"/>
                    <w:left w:val="none" w:sz="0" w:space="0" w:color="auto"/>
                    <w:bottom w:val="none" w:sz="0" w:space="0" w:color="auto"/>
                    <w:right w:val="none" w:sz="0" w:space="0" w:color="auto"/>
                  </w:divBdr>
                </w:div>
                <w:div w:id="1379285528">
                  <w:marLeft w:val="0"/>
                  <w:marRight w:val="0"/>
                  <w:marTop w:val="0"/>
                  <w:marBottom w:val="0"/>
                  <w:divBdr>
                    <w:top w:val="none" w:sz="0" w:space="0" w:color="auto"/>
                    <w:left w:val="none" w:sz="0" w:space="0" w:color="auto"/>
                    <w:bottom w:val="none" w:sz="0" w:space="0" w:color="auto"/>
                    <w:right w:val="none" w:sz="0" w:space="0" w:color="auto"/>
                  </w:divBdr>
                  <w:divsChild>
                    <w:div w:id="91056143">
                      <w:marLeft w:val="0"/>
                      <w:marRight w:val="0"/>
                      <w:marTop w:val="0"/>
                      <w:marBottom w:val="0"/>
                      <w:divBdr>
                        <w:top w:val="none" w:sz="0" w:space="0" w:color="auto"/>
                        <w:left w:val="none" w:sz="0" w:space="0" w:color="auto"/>
                        <w:bottom w:val="none" w:sz="0" w:space="0" w:color="auto"/>
                        <w:right w:val="none" w:sz="0" w:space="0" w:color="auto"/>
                      </w:divBdr>
                      <w:divsChild>
                        <w:div w:id="2118602384">
                          <w:marLeft w:val="0"/>
                          <w:marRight w:val="0"/>
                          <w:marTop w:val="0"/>
                          <w:marBottom w:val="0"/>
                          <w:divBdr>
                            <w:top w:val="none" w:sz="0" w:space="0" w:color="auto"/>
                            <w:left w:val="none" w:sz="0" w:space="0" w:color="auto"/>
                            <w:bottom w:val="none" w:sz="0" w:space="0" w:color="auto"/>
                            <w:right w:val="none" w:sz="0" w:space="0" w:color="auto"/>
                          </w:divBdr>
                          <w:divsChild>
                            <w:div w:id="113410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479141">
          <w:marLeft w:val="0"/>
          <w:marRight w:val="0"/>
          <w:marTop w:val="0"/>
          <w:marBottom w:val="0"/>
          <w:divBdr>
            <w:top w:val="none" w:sz="0" w:space="0" w:color="auto"/>
            <w:left w:val="none" w:sz="0" w:space="0" w:color="auto"/>
            <w:bottom w:val="none" w:sz="0" w:space="0" w:color="auto"/>
            <w:right w:val="none" w:sz="0" w:space="0" w:color="auto"/>
          </w:divBdr>
          <w:divsChild>
            <w:div w:id="1729064563">
              <w:marLeft w:val="0"/>
              <w:marRight w:val="0"/>
              <w:marTop w:val="0"/>
              <w:marBottom w:val="0"/>
              <w:divBdr>
                <w:top w:val="none" w:sz="0" w:space="0" w:color="auto"/>
                <w:left w:val="none" w:sz="0" w:space="0" w:color="auto"/>
                <w:bottom w:val="none" w:sz="0" w:space="0" w:color="auto"/>
                <w:right w:val="none" w:sz="0" w:space="0" w:color="auto"/>
              </w:divBdr>
              <w:divsChild>
                <w:div w:id="11078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332945">
          <w:marLeft w:val="0"/>
          <w:marRight w:val="0"/>
          <w:marTop w:val="0"/>
          <w:marBottom w:val="0"/>
          <w:divBdr>
            <w:top w:val="none" w:sz="0" w:space="0" w:color="auto"/>
            <w:left w:val="none" w:sz="0" w:space="0" w:color="auto"/>
            <w:bottom w:val="none" w:sz="0" w:space="0" w:color="auto"/>
            <w:right w:val="none" w:sz="0" w:space="0" w:color="auto"/>
          </w:divBdr>
          <w:divsChild>
            <w:div w:id="67509184">
              <w:marLeft w:val="0"/>
              <w:marRight w:val="0"/>
              <w:marTop w:val="0"/>
              <w:marBottom w:val="0"/>
              <w:divBdr>
                <w:top w:val="none" w:sz="0" w:space="0" w:color="auto"/>
                <w:left w:val="none" w:sz="0" w:space="0" w:color="auto"/>
                <w:bottom w:val="none" w:sz="0" w:space="0" w:color="auto"/>
                <w:right w:val="none" w:sz="0" w:space="0" w:color="auto"/>
              </w:divBdr>
              <w:divsChild>
                <w:div w:id="1299578977">
                  <w:marLeft w:val="0"/>
                  <w:marRight w:val="0"/>
                  <w:marTop w:val="0"/>
                  <w:marBottom w:val="0"/>
                  <w:divBdr>
                    <w:top w:val="none" w:sz="0" w:space="0" w:color="auto"/>
                    <w:left w:val="none" w:sz="0" w:space="0" w:color="auto"/>
                    <w:bottom w:val="none" w:sz="0" w:space="0" w:color="auto"/>
                    <w:right w:val="none" w:sz="0" w:space="0" w:color="auto"/>
                  </w:divBdr>
                  <w:divsChild>
                    <w:div w:id="17833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739004">
          <w:marLeft w:val="0"/>
          <w:marRight w:val="0"/>
          <w:marTop w:val="0"/>
          <w:marBottom w:val="0"/>
          <w:divBdr>
            <w:top w:val="none" w:sz="0" w:space="0" w:color="auto"/>
            <w:left w:val="none" w:sz="0" w:space="0" w:color="auto"/>
            <w:bottom w:val="none" w:sz="0" w:space="0" w:color="auto"/>
            <w:right w:val="none" w:sz="0" w:space="0" w:color="auto"/>
          </w:divBdr>
        </w:div>
        <w:div w:id="1408768733">
          <w:marLeft w:val="0"/>
          <w:marRight w:val="0"/>
          <w:marTop w:val="0"/>
          <w:marBottom w:val="0"/>
          <w:divBdr>
            <w:top w:val="none" w:sz="0" w:space="0" w:color="auto"/>
            <w:left w:val="none" w:sz="0" w:space="0" w:color="auto"/>
            <w:bottom w:val="none" w:sz="0" w:space="0" w:color="auto"/>
            <w:right w:val="none" w:sz="0" w:space="0" w:color="auto"/>
          </w:divBdr>
          <w:divsChild>
            <w:div w:id="1482430181">
              <w:marLeft w:val="0"/>
              <w:marRight w:val="0"/>
              <w:marTop w:val="0"/>
              <w:marBottom w:val="0"/>
              <w:divBdr>
                <w:top w:val="none" w:sz="0" w:space="0" w:color="auto"/>
                <w:left w:val="none" w:sz="0" w:space="0" w:color="auto"/>
                <w:bottom w:val="none" w:sz="0" w:space="0" w:color="auto"/>
                <w:right w:val="none" w:sz="0" w:space="0" w:color="auto"/>
              </w:divBdr>
              <w:divsChild>
                <w:div w:id="1821531131">
                  <w:marLeft w:val="0"/>
                  <w:marRight w:val="0"/>
                  <w:marTop w:val="0"/>
                  <w:marBottom w:val="0"/>
                  <w:divBdr>
                    <w:top w:val="none" w:sz="0" w:space="0" w:color="auto"/>
                    <w:left w:val="none" w:sz="0" w:space="0" w:color="auto"/>
                    <w:bottom w:val="none" w:sz="0" w:space="0" w:color="auto"/>
                    <w:right w:val="none" w:sz="0" w:space="0" w:color="auto"/>
                  </w:divBdr>
                  <w:divsChild>
                    <w:div w:id="166122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440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330</Words>
  <Characters>1884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Duffield</dc:creator>
  <cp:keywords/>
  <dc:description/>
  <cp:lastModifiedBy>Louise Duffield</cp:lastModifiedBy>
  <cp:revision>1</cp:revision>
  <dcterms:created xsi:type="dcterms:W3CDTF">2022-01-27T12:01:00Z</dcterms:created>
  <dcterms:modified xsi:type="dcterms:W3CDTF">2022-01-27T12:02:00Z</dcterms:modified>
</cp:coreProperties>
</file>