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7919AB" w:rsidRPr="007919AB" w:rsidTr="007919AB">
        <w:trPr>
          <w:tblCellSpacing w:w="0" w:type="dxa"/>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7919AB" w:rsidRPr="007919AB">
              <w:trPr>
                <w:trHeight w:val="120"/>
                <w:tblCellSpacing w:w="0" w:type="dxa"/>
                <w:jc w:val="center"/>
              </w:trPr>
              <w:tc>
                <w:tcPr>
                  <w:tcW w:w="0" w:type="auto"/>
                  <w:vAlign w:val="center"/>
                  <w:hideMark/>
                </w:tcPr>
                <w:p w:rsidR="007919AB" w:rsidRPr="007919AB" w:rsidRDefault="007919AB" w:rsidP="007919AB">
                  <w:pPr>
                    <w:spacing w:after="0" w:line="120" w:lineRule="atLeast"/>
                    <w:rPr>
                      <w:rFonts w:ascii="inherit" w:eastAsia="Times New Roman" w:hAnsi="inherit" w:cs="Times New Roman"/>
                      <w:sz w:val="12"/>
                      <w:szCs w:val="12"/>
                      <w:lang w:eastAsia="en-GB"/>
                    </w:rPr>
                  </w:pPr>
                  <w:r w:rsidRPr="007919AB">
                    <w:rPr>
                      <w:rFonts w:ascii="inherit" w:eastAsia="Times New Roman" w:hAnsi="inherit" w:cs="Times New Roman"/>
                      <w:sz w:val="12"/>
                      <w:szCs w:val="12"/>
                      <w:lang w:eastAsia="en-GB"/>
                    </w:rPr>
                    <w:t> </w:t>
                  </w:r>
                </w:p>
              </w:tc>
            </w:tr>
          </w:tbl>
          <w:p w:rsidR="007919AB" w:rsidRPr="007919AB" w:rsidRDefault="007919AB" w:rsidP="007919AB">
            <w:pPr>
              <w:spacing w:after="0" w:line="240" w:lineRule="auto"/>
              <w:jc w:val="center"/>
              <w:rPr>
                <w:rFonts w:ascii="inherit" w:eastAsia="Times New Roman" w:hAnsi="inherit" w:cs="Times New Roman"/>
                <w:vanish/>
                <w:color w:val="000001"/>
                <w:sz w:val="27"/>
                <w:szCs w:val="27"/>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7919AB" w:rsidRPr="007919AB">
              <w:trPr>
                <w:trHeight w:val="120"/>
                <w:tblCellSpacing w:w="0" w:type="dxa"/>
                <w:jc w:val="center"/>
              </w:trPr>
              <w:tc>
                <w:tcPr>
                  <w:tcW w:w="0" w:type="auto"/>
                  <w:vAlign w:val="center"/>
                  <w:hideMark/>
                </w:tcPr>
                <w:p w:rsidR="007919AB" w:rsidRPr="007919AB" w:rsidRDefault="007919AB" w:rsidP="007919AB">
                  <w:pPr>
                    <w:spacing w:after="0" w:line="120" w:lineRule="atLeast"/>
                    <w:rPr>
                      <w:rFonts w:ascii="inherit" w:eastAsia="Times New Roman" w:hAnsi="inherit" w:cs="Times New Roman"/>
                      <w:sz w:val="12"/>
                      <w:szCs w:val="12"/>
                      <w:lang w:eastAsia="en-GB"/>
                    </w:rPr>
                  </w:pPr>
                  <w:r w:rsidRPr="007919AB">
                    <w:rPr>
                      <w:rFonts w:ascii="inherit" w:eastAsia="Times New Roman" w:hAnsi="inherit" w:cs="Times New Roman"/>
                      <w:sz w:val="12"/>
                      <w:szCs w:val="12"/>
                      <w:lang w:eastAsia="en-GB"/>
                    </w:rPr>
                    <w:t> </w:t>
                  </w:r>
                </w:p>
              </w:tc>
            </w:tr>
          </w:tbl>
          <w:p w:rsidR="007919AB" w:rsidRPr="007919AB" w:rsidRDefault="007919AB" w:rsidP="007919AB">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7919AB" w:rsidRPr="007919AB">
              <w:trPr>
                <w:tblCellSpacing w:w="0" w:type="dxa"/>
                <w:jc w:val="center"/>
              </w:trPr>
              <w:tc>
                <w:tcPr>
                  <w:tcW w:w="0" w:type="auto"/>
                  <w:vAlign w:val="bottom"/>
                  <w:hideMark/>
                </w:tcPr>
                <w:p w:rsidR="007919AB" w:rsidRPr="007919AB" w:rsidRDefault="007919AB" w:rsidP="007919AB">
                  <w:pPr>
                    <w:spacing w:after="0" w:line="240" w:lineRule="auto"/>
                    <w:jc w:val="center"/>
                    <w:rPr>
                      <w:rFonts w:ascii="Arial" w:eastAsia="Times New Roman" w:hAnsi="Arial" w:cs="Arial"/>
                      <w:color w:val="000001"/>
                      <w:sz w:val="17"/>
                      <w:szCs w:val="17"/>
                      <w:lang w:eastAsia="en-GB"/>
                    </w:rPr>
                  </w:pPr>
                  <w:r w:rsidRPr="007919AB">
                    <w:rPr>
                      <w:rFonts w:ascii="Arial" w:eastAsia="Times New Roman" w:hAnsi="Arial" w:cs="Arial"/>
                      <w:color w:val="000001"/>
                      <w:sz w:val="17"/>
                      <w:szCs w:val="17"/>
                      <w:lang w:eastAsia="en-GB"/>
                    </w:rPr>
                    <w:t> ISA vs Pension.  What's Best?</w:t>
                  </w:r>
                </w:p>
              </w:tc>
            </w:tr>
          </w:tbl>
          <w:p w:rsidR="007919AB" w:rsidRPr="007919AB" w:rsidRDefault="007919AB" w:rsidP="007919AB">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7919AB" w:rsidRPr="007919AB">
              <w:trPr>
                <w:tblCellSpacing w:w="0" w:type="dxa"/>
                <w:jc w:val="center"/>
              </w:trPr>
              <w:tc>
                <w:tcPr>
                  <w:tcW w:w="0" w:type="auto"/>
                  <w:hideMark/>
                </w:tcPr>
                <w:p w:rsidR="007919AB" w:rsidRPr="007919AB" w:rsidRDefault="007919AB" w:rsidP="007919AB">
                  <w:pPr>
                    <w:spacing w:after="0" w:line="240" w:lineRule="auto"/>
                    <w:jc w:val="center"/>
                    <w:rPr>
                      <w:rFonts w:ascii="Arial" w:eastAsia="Times New Roman" w:hAnsi="Arial" w:cs="Arial"/>
                      <w:color w:val="000001"/>
                      <w:sz w:val="17"/>
                      <w:szCs w:val="17"/>
                      <w:lang w:eastAsia="en-GB"/>
                    </w:rPr>
                  </w:pPr>
                  <w:r w:rsidRPr="007919AB">
                    <w:rPr>
                      <w:rFonts w:ascii="Arial" w:eastAsia="Times New Roman" w:hAnsi="Arial" w:cs="Arial"/>
                      <w:color w:val="000001"/>
                      <w:sz w:val="17"/>
                      <w:szCs w:val="17"/>
                      <w:lang w:eastAsia="en-GB"/>
                    </w:rPr>
                    <w:t>To view this email online, [link].</w:t>
                  </w:r>
                </w:p>
              </w:tc>
            </w:tr>
          </w:tbl>
          <w:p w:rsidR="007919AB" w:rsidRPr="007919AB" w:rsidRDefault="007919AB" w:rsidP="007919AB">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7919AB" w:rsidRP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r w:rsidR="007919AB" w:rsidRPr="007919A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7919AB" w:rsidRP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sz w:val="24"/>
                            <w:szCs w:val="24"/>
                            <w:lang w:eastAsia="en-GB"/>
                          </w:rPr>
                          <w:drawing>
                            <wp:inline distT="0" distB="0" distL="0" distR="0" wp14:anchorId="685FC8CD" wp14:editId="51C0C7F4">
                              <wp:extent cx="3114675" cy="762000"/>
                              <wp:effectExtent l="0" t="0" r="952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Arial" w:eastAsia="Times New Roman" w:hAnsi="Arial" w:cs="Arial"/>
                                  <w:color w:val="000001"/>
                                  <w:sz w:val="21"/>
                                  <w:szCs w:val="21"/>
                                  <w:lang w:eastAsia="en-GB"/>
                                </w:rPr>
                              </w:pPr>
                              <w:r w:rsidRPr="007919AB">
                                <w:rPr>
                                  <w:rFonts w:ascii="Arial" w:eastAsia="Times New Roman" w:hAnsi="Arial" w:cs="Arial"/>
                                  <w:i/>
                                  <w:iCs/>
                                  <w:color w:val="000080"/>
                                  <w:sz w:val="21"/>
                                  <w:szCs w:val="21"/>
                                  <w:lang w:eastAsia="en-GB"/>
                                </w:rPr>
                                <w:t>"Financial advice given simply by Professionals"</w:t>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sz w:val="24"/>
                                  <w:szCs w:val="24"/>
                                  <w:lang w:eastAsia="en-GB"/>
                                </w:rPr>
                                <w:drawing>
                                  <wp:inline distT="0" distB="0" distL="0" distR="0" wp14:anchorId="3DA744A7" wp14:editId="1568076F">
                                    <wp:extent cx="609600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7919AB" w:rsidRPr="007919AB" w:rsidTr="007919AB">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color w:val="000001"/>
                                              <w:sz w:val="24"/>
                                              <w:szCs w:val="24"/>
                                              <w:lang w:eastAsia="en-GB"/>
                                            </w:rPr>
                                            <w:drawing>
                                              <wp:inline distT="0" distB="0" distL="0" distR="0" wp14:anchorId="55018EE3" wp14:editId="41F8A6D8">
                                                <wp:extent cx="1400175" cy="476250"/>
                                                <wp:effectExtent l="0" t="0" r="9525" b="0"/>
                                                <wp:docPr id="3" name="Picture 3" descr="https://system5.newzapp.co.uk/servershare/20644/nz-images/images/Resized/investmentsbutton-147.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color w:val="000001"/>
                                              <w:sz w:val="24"/>
                                              <w:szCs w:val="24"/>
                                              <w:lang w:eastAsia="en-GB"/>
                                            </w:rPr>
                                            <w:drawing>
                                              <wp:inline distT="0" distB="0" distL="0" distR="0" wp14:anchorId="37D37A99" wp14:editId="49DA5598">
                                                <wp:extent cx="1400175" cy="476250"/>
                                                <wp:effectExtent l="0" t="0" r="9525" b="0"/>
                                                <wp:docPr id="4" name="Picture 4" descr="https://system5.newzapp.co.uk/servershare/20644/nz-images/images/Resized/mortgagesbutton-14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color w:val="000001"/>
                                              <w:sz w:val="24"/>
                                              <w:szCs w:val="24"/>
                                              <w:lang w:eastAsia="en-GB"/>
                                            </w:rPr>
                                            <w:drawing>
                                              <wp:inline distT="0" distB="0" distL="0" distR="0" wp14:anchorId="47131B25" wp14:editId="517BCF50">
                                                <wp:extent cx="1400175" cy="466725"/>
                                                <wp:effectExtent l="0" t="0" r="9525" b="9525"/>
                                                <wp:docPr id="5" name="Picture 5" descr="https://system5.newzapp.co.uk/servershare/20644/nz-images/images/Resized/Pensionsbutton-147.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color w:val="000001"/>
                                              <w:sz w:val="24"/>
                                              <w:szCs w:val="24"/>
                                              <w:lang w:eastAsia="en-GB"/>
                                            </w:rPr>
                                            <w:drawing>
                                              <wp:inline distT="0" distB="0" distL="0" distR="0" wp14:anchorId="430532EF" wp14:editId="6F11ACD4">
                                                <wp:extent cx="1400175" cy="476250"/>
                                                <wp:effectExtent l="0" t="0" r="9525" b="0"/>
                                                <wp:docPr id="6" name="Picture 6" descr="https://system5.newzapp.co.uk/servershare/20644/nz-images/images/Resized/protectionbutton-147.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r w:rsidR="007919AB" w:rsidRPr="007919AB" w:rsidTr="007919AB">
                          <w:trPr>
                            <w:tblCellSpacing w:w="0" w:type="dxa"/>
                            <w:jc w:val="center"/>
                          </w:trPr>
                          <w:tc>
                            <w:tcPr>
                              <w:tcW w:w="0" w:type="auto"/>
                              <w:gridSpan w:val="7"/>
                              <w:hideMark/>
                            </w:tcPr>
                            <w:p w:rsidR="007919AB" w:rsidRPr="007919AB" w:rsidRDefault="007919AB" w:rsidP="007919AB">
                              <w:pPr>
                                <w:spacing w:after="0" w:line="240" w:lineRule="auto"/>
                                <w:jc w:val="center"/>
                                <w:rPr>
                                  <w:rFonts w:ascii="inherit" w:eastAsia="Times New Roman" w:hAnsi="inherit" w:cs="Times New Roman"/>
                                  <w:sz w:val="24"/>
                                  <w:szCs w:val="24"/>
                                  <w:lang w:eastAsia="en-GB"/>
                                </w:rPr>
                              </w:pPr>
                              <w:r w:rsidRPr="007919AB">
                                <w:rPr>
                                  <w:rFonts w:ascii="inherit" w:eastAsia="Times New Roman" w:hAnsi="inherit" w:cs="Times New Roman"/>
                                  <w:noProof/>
                                  <w:sz w:val="24"/>
                                  <w:szCs w:val="24"/>
                                  <w:lang w:eastAsia="en-GB"/>
                                </w:rPr>
                                <w:drawing>
                                  <wp:inline distT="0" distB="0" distL="0" distR="0" wp14:anchorId="397FC228" wp14:editId="639B7E7E">
                                    <wp:extent cx="3019425" cy="1657350"/>
                                    <wp:effectExtent l="0" t="0" r="952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1657350"/>
                                            </a:xfrm>
                                            <a:prstGeom prst="rect">
                                              <a:avLst/>
                                            </a:prstGeom>
                                            <a:noFill/>
                                            <a:ln>
                                              <a:noFill/>
                                            </a:ln>
                                          </pic:spPr>
                                        </pic:pic>
                                      </a:graphicData>
                                    </a:graphic>
                                  </wp:inline>
                                </w:drawing>
                              </w:r>
                            </w:p>
                          </w:tc>
                        </w:tr>
                        <w:tr w:rsidR="007919AB" w:rsidRPr="007919AB" w:rsidTr="007919AB">
                          <w:trPr>
                            <w:trHeight w:val="150"/>
                            <w:tblCellSpacing w:w="0" w:type="dxa"/>
                            <w:jc w:val="center"/>
                          </w:trPr>
                          <w:tc>
                            <w:tcPr>
                              <w:tcW w:w="0" w:type="auto"/>
                              <w:gridSpan w:val="7"/>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bl>
                      <w:p w:rsidR="007919AB" w:rsidRPr="007919AB" w:rsidRDefault="007919AB" w:rsidP="007919AB">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Arial" w:eastAsia="Times New Roman" w:hAnsi="Arial" w:cs="Arial"/>
                                  <w:color w:val="000001"/>
                                  <w:sz w:val="21"/>
                                  <w:szCs w:val="21"/>
                                  <w:lang w:eastAsia="en-GB"/>
                                </w:rPr>
                              </w:pPr>
                              <w:r w:rsidRPr="007919AB">
                                <w:rPr>
                                  <w:rFonts w:ascii="Arial" w:eastAsia="Times New Roman" w:hAnsi="Arial" w:cs="Arial"/>
                                  <w:b/>
                                  <w:bCs/>
                                  <w:color w:val="000001"/>
                                  <w:sz w:val="33"/>
                                  <w:szCs w:val="33"/>
                                  <w:lang w:eastAsia="en-GB"/>
                                </w:rPr>
                                <w:t>Let the contest commence! </w:t>
                              </w:r>
                            </w:p>
                            <w:p w:rsidR="007919AB" w:rsidRPr="007919AB" w:rsidRDefault="007919AB" w:rsidP="007919AB">
                              <w:pPr>
                                <w:spacing w:after="0" w:line="240" w:lineRule="auto"/>
                                <w:jc w:val="center"/>
                                <w:rPr>
                                  <w:rFonts w:ascii="Arial" w:eastAsia="Times New Roman" w:hAnsi="Arial" w:cs="Arial"/>
                                  <w:color w:val="000001"/>
                                  <w:sz w:val="21"/>
                                  <w:szCs w:val="21"/>
                                  <w:lang w:eastAsia="en-GB"/>
                                </w:rPr>
                              </w:pPr>
                              <w:r w:rsidRPr="007919AB">
                                <w:rPr>
                                  <w:rFonts w:ascii="Arial" w:eastAsia="Times New Roman" w:hAnsi="Arial" w:cs="Arial"/>
                                  <w:b/>
                                  <w:bCs/>
                                  <w:color w:val="000001"/>
                                  <w:sz w:val="33"/>
                                  <w:szCs w:val="33"/>
                                  <w:lang w:eastAsia="en-GB"/>
                                </w:rPr>
                                <w:t>ISAs vs Pensions</w:t>
                              </w:r>
                            </w:p>
                            <w:p w:rsidR="007919AB" w:rsidRPr="007919AB" w:rsidRDefault="007919AB" w:rsidP="007919AB">
                              <w:pPr>
                                <w:spacing w:after="240" w:line="240" w:lineRule="auto"/>
                                <w:jc w:val="center"/>
                                <w:rPr>
                                  <w:rFonts w:ascii="Arial" w:eastAsia="Times New Roman" w:hAnsi="Arial" w:cs="Arial"/>
                                  <w:color w:val="000001"/>
                                  <w:sz w:val="21"/>
                                  <w:szCs w:val="21"/>
                                  <w:lang w:eastAsia="en-GB"/>
                                </w:rPr>
                              </w:pPr>
                              <w:r w:rsidRPr="007919AB">
                                <w:rPr>
                                  <w:rFonts w:ascii="Arial" w:eastAsia="Times New Roman" w:hAnsi="Arial" w:cs="Arial"/>
                                  <w:b/>
                                  <w:bCs/>
                                  <w:color w:val="000001"/>
                                  <w:sz w:val="33"/>
                                  <w:szCs w:val="33"/>
                                  <w:lang w:eastAsia="en-GB"/>
                                </w:rPr>
                                <w:t>The two best ways to save for retirement</w:t>
                              </w:r>
                              <w:r w:rsidRPr="007919AB">
                                <w:rPr>
                                  <w:rFonts w:ascii="Arial" w:eastAsia="Times New Roman" w:hAnsi="Arial" w:cs="Arial"/>
                                  <w:color w:val="000001"/>
                                  <w:sz w:val="27"/>
                                  <w:szCs w:val="27"/>
                                  <w:lang w:eastAsia="en-GB"/>
                                </w:rPr>
                                <w:t>.</w:t>
                              </w:r>
                              <w:r w:rsidRPr="007919AB">
                                <w:rPr>
                                  <w:rFonts w:ascii="Arial" w:eastAsia="Times New Roman" w:hAnsi="Arial" w:cs="Arial"/>
                                  <w:color w:val="000001"/>
                                  <w:sz w:val="21"/>
                                  <w:szCs w:val="21"/>
                                  <w:lang w:eastAsia="en-GB"/>
                                </w:rPr>
                                <w:t> </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ISAs and Pensions work differently, each with their own set of rules.</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So, how do you know which one will be right for you?</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We’ve taken a closer look at both to help you decide which suits you best. </w:t>
                              </w:r>
                              <w:r w:rsidRPr="007919AB">
                                <w:rPr>
                                  <w:rFonts w:ascii="Arial" w:eastAsia="Times New Roman" w:hAnsi="Arial" w:cs="Arial"/>
                                  <w:color w:val="000001"/>
                                  <w:sz w:val="21"/>
                                  <w:szCs w:val="21"/>
                                  <w:lang w:eastAsia="en-GB"/>
                                </w:rPr>
                                <w:br/>
                              </w:r>
                            </w:p>
                          </w:tc>
                        </w:tr>
                        <w:tr w:rsidR="007919AB" w:rsidRPr="007919AB" w:rsidTr="007919AB">
                          <w:trPr>
                            <w:trHeight w:val="150"/>
                            <w:tblCellSpacing w:w="0" w:type="dxa"/>
                            <w:jc w:val="center"/>
                          </w:trPr>
                          <w:tc>
                            <w:tcPr>
                              <w:tcW w:w="0" w:type="auto"/>
                              <w:vAlign w:val="center"/>
                              <w:hideMark/>
                            </w:tcPr>
                            <w:p w:rsidR="007919AB" w:rsidRPr="007919AB" w:rsidRDefault="007919AB" w:rsidP="007919AB">
                              <w:pPr>
                                <w:spacing w:after="0" w:line="150" w:lineRule="atLeast"/>
                                <w:rPr>
                                  <w:rFonts w:ascii="inherit" w:eastAsia="Times New Roman" w:hAnsi="inherit" w:cs="Times New Roman"/>
                                  <w:sz w:val="15"/>
                                  <w:szCs w:val="15"/>
                                  <w:lang w:eastAsia="en-GB"/>
                                </w:rPr>
                              </w:pPr>
                              <w:r w:rsidRPr="007919AB">
                                <w:rPr>
                                  <w:rFonts w:ascii="inherit" w:eastAsia="Times New Roman" w:hAnsi="inherit" w:cs="Times New Roman"/>
                                  <w:sz w:val="15"/>
                                  <w:szCs w:val="15"/>
                                  <w:lang w:eastAsia="en-GB"/>
                                </w:rPr>
                                <w:t> </w:t>
                              </w:r>
                            </w:p>
                          </w:tc>
                        </w:tr>
                        <w:tr w:rsidR="007919AB" w:rsidRPr="007919AB" w:rsidTr="007919AB">
                          <w:trPr>
                            <w:tblCellSpacing w:w="0" w:type="dxa"/>
                            <w:jc w:val="center"/>
                          </w:trPr>
                          <w:tc>
                            <w:tcPr>
                              <w:tcW w:w="0" w:type="auto"/>
                              <w:hideMark/>
                            </w:tcPr>
                            <w:p w:rsidR="007919AB" w:rsidRPr="007919AB" w:rsidRDefault="007919AB" w:rsidP="007919AB">
                              <w:pPr>
                                <w:spacing w:after="0" w:line="240" w:lineRule="auto"/>
                                <w:jc w:val="center"/>
                                <w:rPr>
                                  <w:rFonts w:ascii="Arial" w:eastAsia="Times New Roman" w:hAnsi="Arial" w:cs="Arial"/>
                                  <w:color w:val="000001"/>
                                  <w:sz w:val="21"/>
                                  <w:szCs w:val="21"/>
                                  <w:lang w:eastAsia="en-GB"/>
                                </w:rPr>
                              </w:pPr>
                            </w:p>
                            <w:p w:rsidR="007919AB" w:rsidRPr="007919AB" w:rsidRDefault="007919AB" w:rsidP="007919AB">
                              <w:pPr>
                                <w:spacing w:after="0" w:line="240" w:lineRule="auto"/>
                                <w:jc w:val="center"/>
                                <w:rPr>
                                  <w:rFonts w:ascii="Arial" w:eastAsia="Times New Roman" w:hAnsi="Arial" w:cs="Arial"/>
                                  <w:color w:val="000001"/>
                                  <w:sz w:val="21"/>
                                  <w:szCs w:val="21"/>
                                  <w:lang w:eastAsia="en-GB"/>
                                </w:rPr>
                              </w:pPr>
                              <w:r w:rsidRPr="007919AB">
                                <w:rPr>
                                  <w:rFonts w:ascii="Arial" w:eastAsia="Times New Roman" w:hAnsi="Arial" w:cs="Arial"/>
                                  <w:b/>
                                  <w:bCs/>
                                  <w:color w:val="000001"/>
                                  <w:sz w:val="33"/>
                                  <w:szCs w:val="33"/>
                                  <w:lang w:eastAsia="en-GB"/>
                                </w:rPr>
                                <w:t>ISAs and Pensions compared</w:t>
                              </w:r>
                            </w:p>
                            <w:p w:rsidR="007919AB" w:rsidRPr="007919AB" w:rsidRDefault="007919AB" w:rsidP="007919AB">
                              <w:pPr>
                                <w:spacing w:after="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br/>
                              </w:r>
                              <w:r w:rsidRPr="007919AB">
                                <w:rPr>
                                  <w:rFonts w:ascii="Arial" w:eastAsia="Times New Roman" w:hAnsi="Arial" w:cs="Arial"/>
                                  <w:b/>
                                  <w:bCs/>
                                  <w:color w:val="000001"/>
                                  <w:sz w:val="33"/>
                                  <w:szCs w:val="33"/>
                                  <w:lang w:eastAsia="en-GB"/>
                                </w:rPr>
                                <w:t>ISA</w:t>
                              </w:r>
                              <w:r w:rsidRPr="007919AB">
                                <w:rPr>
                                  <w:rFonts w:ascii="Arial" w:eastAsia="Times New Roman" w:hAnsi="Arial" w:cs="Arial"/>
                                  <w:b/>
                                  <w:bCs/>
                                  <w:color w:val="000001"/>
                                  <w:sz w:val="27"/>
                                  <w:szCs w:val="27"/>
                                  <w:lang w:eastAsia="en-GB"/>
                                </w:rPr>
                                <w:t> </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lastRenderedPageBreak/>
                                <w:t>The accumulated savings fund grows tax-free</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No Capital Gains Tax or Income Tax is payable when savings are accessed</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No tax relief is given on payments into an ISA</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An ISA forms part of your estate, unless left to an exempt beneficiary such as a spouse or civil partner.</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No additional tax is payable (unless inheritance tax applies) </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 earliest age you can make payments and have access into an ISA is aged 16 for cash ISAs and 18 for stocks and shares ISAs (also called investment ISAs). There is no maximum age limit. Children under the age of 18 can have a junior ISA opened on their behalf from birth  </w:t>
                              </w:r>
                            </w:p>
                            <w:p w:rsidR="007919AB" w:rsidRPr="007919AB" w:rsidRDefault="007919AB" w:rsidP="007919AB">
                              <w:pPr>
                                <w:numPr>
                                  <w:ilvl w:val="0"/>
                                  <w:numId w:val="1"/>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Investment is allowed in cash, shares, government and corporate bonds and a wide range of Investment Funds.</w:t>
                              </w:r>
                            </w:p>
                            <w:p w:rsidR="007919AB" w:rsidRPr="007919AB" w:rsidRDefault="007919AB" w:rsidP="007919AB">
                              <w:pPr>
                                <w:numPr>
                                  <w:ilvl w:val="0"/>
                                  <w:numId w:val="1"/>
                                </w:numPr>
                                <w:spacing w:before="100" w:beforeAutospacing="1" w:after="100" w:afterAutospacing="1"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 maximum annual allowance for the 2020/21 tax year is £20,000. Unused annual</w:t>
                              </w:r>
                              <w:r w:rsidRPr="007919AB">
                                <w:rPr>
                                  <w:rFonts w:ascii="Arial" w:eastAsia="Times New Roman" w:hAnsi="Arial" w:cs="Arial"/>
                                  <w:color w:val="000001"/>
                                  <w:sz w:val="21"/>
                                  <w:szCs w:val="21"/>
                                  <w:lang w:eastAsia="en-GB"/>
                                </w:rPr>
                                <w:br/>
                                <w:t>allowance cannot be carried forward. There is no maximum overall saving amount</w:t>
                              </w:r>
                            </w:p>
                            <w:p w:rsidR="007919AB" w:rsidRPr="007919AB" w:rsidRDefault="007919AB" w:rsidP="007919AB">
                              <w:pPr>
                                <w:numPr>
                                  <w:ilvl w:val="0"/>
                                  <w:numId w:val="2"/>
                                </w:numPr>
                                <w:spacing w:before="100" w:beforeAutospacing="1" w:after="100" w:afterAutospacing="1"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Employers or any other person cannot make payments into your ISA</w:t>
                              </w:r>
                            </w:p>
                            <w:p w:rsidR="007919AB" w:rsidRPr="007919AB" w:rsidRDefault="007919AB" w:rsidP="007919AB">
                              <w:pPr>
                                <w:spacing w:after="0" w:line="240" w:lineRule="auto"/>
                                <w:rPr>
                                  <w:rFonts w:ascii="Arial" w:eastAsia="Times New Roman" w:hAnsi="Arial" w:cs="Arial"/>
                                  <w:color w:val="000001"/>
                                  <w:sz w:val="21"/>
                                  <w:szCs w:val="21"/>
                                  <w:lang w:eastAsia="en-GB"/>
                                </w:rPr>
                              </w:pPr>
                              <w:r w:rsidRPr="007919AB">
                                <w:rPr>
                                  <w:rFonts w:ascii="Arial" w:eastAsia="Times New Roman" w:hAnsi="Arial" w:cs="Arial"/>
                                  <w:b/>
                                  <w:bCs/>
                                  <w:color w:val="000001"/>
                                  <w:sz w:val="33"/>
                                  <w:szCs w:val="33"/>
                                  <w:lang w:eastAsia="en-GB"/>
                                </w:rPr>
                                <w:t>Pension</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Tax relief at source is given on contributions into your pension for amounts up 100% of your annual earnings or £40,000  (whichever is the least)</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 most that can be added to your pension in a year is £40,000. This is reduced to £10,000 if you are drawing down on your pension</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 accumulated pension fund grows tax free</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No Capital Gains Tax is payable when pensions are accessed</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Usually 25% of your pension can be taken tax-free either as income or lump sums. Income Tax is charged on the remaining amount when it’s taken from the pension</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Your pension fund is not normally counted when working out the taxable value of your estate for inheritance tax </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There’s a lifetime allowance limit on the amount that you can contribute to your pensions. The limit is currently £1,073,100. Any amounts above this limit you pay an extra tax charge when accessing your pension</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The earliest you can usually access a pension is age 55, although earlier access is possible in the case of ill health</w:t>
                              </w:r>
                            </w:p>
                            <w:p w:rsidR="007919AB" w:rsidRPr="007919AB" w:rsidRDefault="007919AB" w:rsidP="007919AB">
                              <w:pPr>
                                <w:numPr>
                                  <w:ilvl w:val="0"/>
                                  <w:numId w:val="3"/>
                                </w:numPr>
                                <w:spacing w:before="100" w:beforeAutospacing="1" w:after="24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Payments to your pension can be made from birth to age 75</w:t>
                              </w:r>
                            </w:p>
                            <w:p w:rsidR="007919AB" w:rsidRPr="007919AB" w:rsidRDefault="007919AB" w:rsidP="007919AB">
                              <w:pPr>
                                <w:numPr>
                                  <w:ilvl w:val="0"/>
                                  <w:numId w:val="3"/>
                                </w:numPr>
                                <w:spacing w:before="100" w:beforeAutospacing="1" w:after="100" w:afterAutospacing="1"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If you are employed and earn enough, your employer must enrol you into a pension scheme. In most cases they’ll also pay into your pension scheme for you</w:t>
                              </w:r>
                            </w:p>
                            <w:p w:rsidR="007919AB" w:rsidRPr="007919AB" w:rsidRDefault="007919AB" w:rsidP="007919AB">
                              <w:pPr>
                                <w:spacing w:after="0" w:line="240" w:lineRule="auto"/>
                                <w:rPr>
                                  <w:rFonts w:ascii="Arial" w:eastAsia="Times New Roman" w:hAnsi="Arial" w:cs="Arial"/>
                                  <w:color w:val="000001"/>
                                  <w:sz w:val="21"/>
                                  <w:szCs w:val="21"/>
                                  <w:lang w:eastAsia="en-GB"/>
                                </w:rPr>
                              </w:pPr>
                              <w:r w:rsidRPr="007919AB">
                                <w:rPr>
                                  <w:rFonts w:ascii="Arial" w:eastAsia="Times New Roman" w:hAnsi="Arial" w:cs="Arial"/>
                                  <w:color w:val="000001"/>
                                  <w:sz w:val="21"/>
                                  <w:szCs w:val="21"/>
                                  <w:lang w:eastAsia="en-GB"/>
                                </w:rPr>
                                <w:t>As you can see from this comparison, ISAs and pensions are actually quite similar, but the opposite way around.  So what might tip the balance in favour of one or the other?</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lastRenderedPageBreak/>
                                <w:br/>
                              </w:r>
                              <w:r w:rsidRPr="007919AB">
                                <w:rPr>
                                  <w:rFonts w:ascii="Arial" w:eastAsia="Times New Roman" w:hAnsi="Arial" w:cs="Arial"/>
                                  <w:color w:val="000001"/>
                                  <w:sz w:val="27"/>
                                  <w:szCs w:val="27"/>
                                  <w:lang w:eastAsia="en-GB"/>
                                </w:rPr>
                                <w:t>Why choose an ISA?</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ISAs are the most flexible form of tax-efficient savings plan available.  The investment growth is enhanced as the funds inside the ISA grows tax free and tax free to you as the investor.  This makes the ISA ideal for providing a tax free retirement income and an excellent alternative or addition to a pension.</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Your ISA funds can be accessed at any time, but investment ISAs are usually taken out for the medium to long-term (3-5 years plus). </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Although the ISA forms part of your estate the ISA can be transferred to your spouse or partner without losing its tax free status.</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7"/>
                                  <w:szCs w:val="27"/>
                                  <w:lang w:eastAsia="en-GB"/>
                                </w:rPr>
                                <w:t>Why choose a pension?</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If you don’t need access to your money before you turn 55, the advantage of a pension is that you get tax relief at source at your marginal rate on the payments you make into it. You don’t get tax relief when you make payments into an ISA.   </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If you are employed and eligible, your employer must enrol you into a pension scheme and, in most cases, will pay into the scheme on your behalf.  Employer payments boost your own contributions and could, in a sense, be regarded as free money to you.</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If you are self-employed, or run your own company, then paying into a pension is very sensible. It provides a means of legally transferring funds from your business to your own pension plan to provide an income in your retirement.  You would benefit from personal tax relief at source on personal contributions or corporate tax relief if the contribution was paid by your company. </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The new Pensions Freedom now gives considerable flexibility on receiving the benefits from you pension, and of course, pensions are not subject to IHT which means you can leave your pension to your spouse or children.</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t>We consider the contest a draw.  They are both excellent investment plans for saving towards for your future.  So our recommendation is to make investments into both, side by side. </w:t>
                              </w:r>
                              <w:r w:rsidRPr="007919AB">
                                <w:rPr>
                                  <w:rFonts w:ascii="Arial" w:eastAsia="Times New Roman" w:hAnsi="Arial" w:cs="Arial"/>
                                  <w:color w:val="000001"/>
                                  <w:sz w:val="21"/>
                                  <w:szCs w:val="21"/>
                                  <w:lang w:eastAsia="en-GB"/>
                                </w:rPr>
                                <w:br/>
                              </w:r>
                              <w:r w:rsidRPr="007919AB">
                                <w:rPr>
                                  <w:rFonts w:ascii="Arial" w:eastAsia="Times New Roman" w:hAnsi="Arial" w:cs="Arial"/>
                                  <w:color w:val="000001"/>
                                  <w:sz w:val="21"/>
                                  <w:szCs w:val="21"/>
                                  <w:lang w:eastAsia="en-GB"/>
                                </w:rPr>
                                <w:br/>
                              </w:r>
                              <w:r w:rsidRPr="007919AB">
                                <w:rPr>
                                  <w:rFonts w:ascii="Arial" w:eastAsia="Times New Roman" w:hAnsi="Arial" w:cs="Arial"/>
                                  <w:color w:val="000000"/>
                                  <w:sz w:val="21"/>
                                  <w:szCs w:val="21"/>
                                  <w:lang w:eastAsia="en-GB"/>
                                </w:rPr>
                                <w:t>Stay safe, take care</w:t>
                              </w:r>
                              <w:r w:rsidRPr="007919AB">
                                <w:rPr>
                                  <w:rFonts w:ascii="Arial" w:eastAsia="Times New Roman" w:hAnsi="Arial" w:cs="Arial"/>
                                  <w:color w:val="000000"/>
                                  <w:sz w:val="21"/>
                                  <w:szCs w:val="21"/>
                                  <w:lang w:eastAsia="en-GB"/>
                                </w:rPr>
                                <w:br/>
                              </w:r>
                              <w:r w:rsidRPr="007919AB">
                                <w:rPr>
                                  <w:rFonts w:ascii="Arial" w:eastAsia="Times New Roman" w:hAnsi="Arial" w:cs="Arial"/>
                                  <w:color w:val="000000"/>
                                  <w:sz w:val="21"/>
                                  <w:szCs w:val="21"/>
                                  <w:lang w:eastAsia="en-GB"/>
                                </w:rPr>
                                <w:br/>
                                <w:t>It's still out there!</w:t>
                              </w:r>
                              <w:r w:rsidRPr="007919AB">
                                <w:rPr>
                                  <w:rFonts w:ascii="Arial" w:eastAsia="Times New Roman" w:hAnsi="Arial" w:cs="Arial"/>
                                  <w:color w:val="000000"/>
                                  <w:sz w:val="21"/>
                                  <w:szCs w:val="21"/>
                                  <w:lang w:eastAsia="en-GB"/>
                                </w:rPr>
                                <w:br/>
                              </w:r>
                              <w:r w:rsidRPr="007919AB">
                                <w:rPr>
                                  <w:rFonts w:ascii="Arial" w:eastAsia="Times New Roman" w:hAnsi="Arial" w:cs="Arial"/>
                                  <w:color w:val="000000"/>
                                  <w:sz w:val="21"/>
                                  <w:szCs w:val="21"/>
                                  <w:lang w:eastAsia="en-GB"/>
                                </w:rPr>
                                <w:br/>
                                <w:t>Best Wishes</w:t>
                              </w:r>
                              <w:r w:rsidRPr="007919AB">
                                <w:rPr>
                                  <w:rFonts w:ascii="Arial" w:eastAsia="Times New Roman" w:hAnsi="Arial" w:cs="Arial"/>
                                  <w:color w:val="000000"/>
                                  <w:sz w:val="21"/>
                                  <w:szCs w:val="21"/>
                                  <w:lang w:eastAsia="en-GB"/>
                                </w:rPr>
                                <w:br/>
                              </w:r>
                              <w:r w:rsidRPr="007919AB">
                                <w:rPr>
                                  <w:rFonts w:ascii="Arial" w:eastAsia="Times New Roman" w:hAnsi="Arial" w:cs="Arial"/>
                                  <w:color w:val="000000"/>
                                  <w:sz w:val="21"/>
                                  <w:szCs w:val="21"/>
                                  <w:lang w:eastAsia="en-GB"/>
                                </w:rPr>
                                <w:br/>
                                <w:t>Ray Jenkins</w:t>
                              </w:r>
                            </w:p>
                          </w:tc>
                        </w:tr>
                      </w:tbl>
                      <w:p w:rsidR="007919AB" w:rsidRPr="007919AB" w:rsidRDefault="007919AB" w:rsidP="007919AB">
                        <w:pPr>
                          <w:spacing w:after="0" w:line="240" w:lineRule="auto"/>
                          <w:jc w:val="center"/>
                          <w:rPr>
                            <w:rFonts w:ascii="inherit" w:eastAsia="Times New Roman" w:hAnsi="inherit" w:cs="Times New Roman"/>
                            <w:sz w:val="24"/>
                            <w:szCs w:val="24"/>
                            <w:lang w:eastAsia="en-GB"/>
                          </w:rPr>
                        </w:pPr>
                      </w:p>
                    </w:tc>
                  </w:tr>
                </w:tbl>
                <w:p w:rsidR="007919AB" w:rsidRPr="007919AB" w:rsidRDefault="007919AB" w:rsidP="007919AB">
                  <w:pPr>
                    <w:spacing w:after="0" w:line="240" w:lineRule="auto"/>
                    <w:jc w:val="center"/>
                    <w:rPr>
                      <w:rFonts w:ascii="Arial" w:eastAsia="Times New Roman" w:hAnsi="Arial" w:cs="Arial"/>
                      <w:color w:val="000001"/>
                      <w:sz w:val="21"/>
                      <w:szCs w:val="21"/>
                      <w:lang w:eastAsia="en-GB"/>
                    </w:rPr>
                  </w:pPr>
                </w:p>
              </w:tc>
            </w:tr>
          </w:tbl>
          <w:p w:rsidR="007919AB" w:rsidRPr="007919AB" w:rsidRDefault="007919AB" w:rsidP="007919AB">
            <w:pPr>
              <w:spacing w:after="0" w:line="240" w:lineRule="auto"/>
              <w:jc w:val="center"/>
              <w:rPr>
                <w:rFonts w:ascii="inherit" w:eastAsia="Times New Roman" w:hAnsi="inherit" w:cs="Times New Roman"/>
                <w:color w:val="000001"/>
                <w:sz w:val="27"/>
                <w:szCs w:val="27"/>
                <w:lang w:eastAsia="en-GB"/>
              </w:rPr>
            </w:pPr>
          </w:p>
        </w:tc>
      </w:tr>
    </w:tbl>
    <w:p w:rsidR="00D54A0E" w:rsidRDefault="00D54A0E">
      <w:bookmarkStart w:id="0" w:name="_GoBack"/>
      <w:bookmarkEnd w:id="0"/>
    </w:p>
    <w:sectPr w:rsidR="00D54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02D14"/>
    <w:multiLevelType w:val="multilevel"/>
    <w:tmpl w:val="101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42E5E"/>
    <w:multiLevelType w:val="multilevel"/>
    <w:tmpl w:val="0C9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02079"/>
    <w:multiLevelType w:val="multilevel"/>
    <w:tmpl w:val="0A2E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AB"/>
    <w:rsid w:val="007919AB"/>
    <w:rsid w:val="00D5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AC99-D912-44B8-BE6A-F1F5DC5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18070">
      <w:bodyDiv w:val="1"/>
      <w:marLeft w:val="0"/>
      <w:marRight w:val="0"/>
      <w:marTop w:val="0"/>
      <w:marBottom w:val="0"/>
      <w:divBdr>
        <w:top w:val="none" w:sz="0" w:space="0" w:color="auto"/>
        <w:left w:val="none" w:sz="0" w:space="0" w:color="auto"/>
        <w:bottom w:val="none" w:sz="0" w:space="0" w:color="auto"/>
        <w:right w:val="none" w:sz="0" w:space="0" w:color="auto"/>
      </w:divBdr>
      <w:divsChild>
        <w:div w:id="2041393643">
          <w:marLeft w:val="0"/>
          <w:marRight w:val="0"/>
          <w:marTop w:val="0"/>
          <w:marBottom w:val="0"/>
          <w:divBdr>
            <w:top w:val="none" w:sz="0" w:space="0" w:color="auto"/>
            <w:left w:val="none" w:sz="0" w:space="0" w:color="auto"/>
            <w:bottom w:val="none" w:sz="0" w:space="0" w:color="auto"/>
            <w:right w:val="none" w:sz="0" w:space="0" w:color="auto"/>
          </w:divBdr>
        </w:div>
        <w:div w:id="74088003">
          <w:marLeft w:val="0"/>
          <w:marRight w:val="0"/>
          <w:marTop w:val="0"/>
          <w:marBottom w:val="0"/>
          <w:divBdr>
            <w:top w:val="none" w:sz="0" w:space="0" w:color="auto"/>
            <w:left w:val="none" w:sz="0" w:space="0" w:color="auto"/>
            <w:bottom w:val="none" w:sz="0" w:space="0" w:color="auto"/>
            <w:right w:val="none" w:sz="0" w:space="0" w:color="auto"/>
          </w:divBdr>
          <w:divsChild>
            <w:div w:id="1322391081">
              <w:marLeft w:val="0"/>
              <w:marRight w:val="0"/>
              <w:marTop w:val="0"/>
              <w:marBottom w:val="0"/>
              <w:divBdr>
                <w:top w:val="none" w:sz="0" w:space="0" w:color="auto"/>
                <w:left w:val="none" w:sz="0" w:space="0" w:color="auto"/>
                <w:bottom w:val="none" w:sz="0" w:space="0" w:color="auto"/>
                <w:right w:val="none" w:sz="0" w:space="0" w:color="auto"/>
              </w:divBdr>
              <w:divsChild>
                <w:div w:id="898635619">
                  <w:marLeft w:val="0"/>
                  <w:marRight w:val="0"/>
                  <w:marTop w:val="0"/>
                  <w:marBottom w:val="0"/>
                  <w:divBdr>
                    <w:top w:val="none" w:sz="0" w:space="0" w:color="auto"/>
                    <w:left w:val="none" w:sz="0" w:space="0" w:color="auto"/>
                    <w:bottom w:val="none" w:sz="0" w:space="0" w:color="auto"/>
                    <w:right w:val="none" w:sz="0" w:space="0" w:color="auto"/>
                  </w:divBdr>
                </w:div>
              </w:divsChild>
            </w:div>
            <w:div w:id="2102411544">
              <w:marLeft w:val="0"/>
              <w:marRight w:val="0"/>
              <w:marTop w:val="0"/>
              <w:marBottom w:val="0"/>
              <w:divBdr>
                <w:top w:val="none" w:sz="0" w:space="0" w:color="auto"/>
                <w:left w:val="none" w:sz="0" w:space="0" w:color="auto"/>
                <w:bottom w:val="none" w:sz="0" w:space="0" w:color="auto"/>
                <w:right w:val="none" w:sz="0" w:space="0" w:color="auto"/>
              </w:divBdr>
              <w:divsChild>
                <w:div w:id="930969142">
                  <w:marLeft w:val="0"/>
                  <w:marRight w:val="0"/>
                  <w:marTop w:val="0"/>
                  <w:marBottom w:val="0"/>
                  <w:divBdr>
                    <w:top w:val="none" w:sz="0" w:space="0" w:color="auto"/>
                    <w:left w:val="none" w:sz="0" w:space="0" w:color="auto"/>
                    <w:bottom w:val="none" w:sz="0" w:space="0" w:color="auto"/>
                    <w:right w:val="none" w:sz="0" w:space="0" w:color="auto"/>
                  </w:divBdr>
                </w:div>
              </w:divsChild>
            </w:div>
            <w:div w:id="932131387">
              <w:marLeft w:val="0"/>
              <w:marRight w:val="0"/>
              <w:marTop w:val="0"/>
              <w:marBottom w:val="0"/>
              <w:divBdr>
                <w:top w:val="none" w:sz="0" w:space="0" w:color="auto"/>
                <w:left w:val="none" w:sz="0" w:space="0" w:color="auto"/>
                <w:bottom w:val="none" w:sz="0" w:space="0" w:color="auto"/>
                <w:right w:val="none" w:sz="0" w:space="0" w:color="auto"/>
              </w:divBdr>
              <w:divsChild>
                <w:div w:id="185676331">
                  <w:marLeft w:val="0"/>
                  <w:marRight w:val="0"/>
                  <w:marTop w:val="0"/>
                  <w:marBottom w:val="0"/>
                  <w:divBdr>
                    <w:top w:val="none" w:sz="0" w:space="0" w:color="auto"/>
                    <w:left w:val="none" w:sz="0" w:space="0" w:color="auto"/>
                    <w:bottom w:val="none" w:sz="0" w:space="0" w:color="auto"/>
                    <w:right w:val="none" w:sz="0" w:space="0" w:color="auto"/>
                  </w:divBdr>
                  <w:divsChild>
                    <w:div w:id="14257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6596">
              <w:marLeft w:val="0"/>
              <w:marRight w:val="0"/>
              <w:marTop w:val="0"/>
              <w:marBottom w:val="0"/>
              <w:divBdr>
                <w:top w:val="none" w:sz="0" w:space="0" w:color="auto"/>
                <w:left w:val="none" w:sz="0" w:space="0" w:color="auto"/>
                <w:bottom w:val="none" w:sz="0" w:space="0" w:color="auto"/>
                <w:right w:val="none" w:sz="0" w:space="0" w:color="auto"/>
              </w:divBdr>
              <w:divsChild>
                <w:div w:id="1401947997">
                  <w:marLeft w:val="0"/>
                  <w:marRight w:val="0"/>
                  <w:marTop w:val="0"/>
                  <w:marBottom w:val="0"/>
                  <w:divBdr>
                    <w:top w:val="none" w:sz="0" w:space="0" w:color="auto"/>
                    <w:left w:val="none" w:sz="0" w:space="0" w:color="auto"/>
                    <w:bottom w:val="none" w:sz="0" w:space="0" w:color="auto"/>
                    <w:right w:val="none" w:sz="0" w:space="0" w:color="auto"/>
                  </w:divBdr>
                  <w:divsChild>
                    <w:div w:id="1761947597">
                      <w:marLeft w:val="0"/>
                      <w:marRight w:val="0"/>
                      <w:marTop w:val="0"/>
                      <w:marBottom w:val="0"/>
                      <w:divBdr>
                        <w:top w:val="none" w:sz="0" w:space="0" w:color="auto"/>
                        <w:left w:val="none" w:sz="0" w:space="0" w:color="auto"/>
                        <w:bottom w:val="none" w:sz="0" w:space="0" w:color="auto"/>
                        <w:right w:val="none" w:sz="0" w:space="0" w:color="auto"/>
                      </w:divBdr>
                      <w:divsChild>
                        <w:div w:id="1549341329">
                          <w:marLeft w:val="0"/>
                          <w:marRight w:val="0"/>
                          <w:marTop w:val="0"/>
                          <w:marBottom w:val="0"/>
                          <w:divBdr>
                            <w:top w:val="none" w:sz="0" w:space="0" w:color="auto"/>
                            <w:left w:val="none" w:sz="0" w:space="0" w:color="auto"/>
                            <w:bottom w:val="none" w:sz="0" w:space="0" w:color="auto"/>
                            <w:right w:val="none" w:sz="0" w:space="0" w:color="auto"/>
                          </w:divBdr>
                          <w:divsChild>
                            <w:div w:id="2039381480">
                              <w:marLeft w:val="0"/>
                              <w:marRight w:val="0"/>
                              <w:marTop w:val="0"/>
                              <w:marBottom w:val="0"/>
                              <w:divBdr>
                                <w:top w:val="none" w:sz="0" w:space="0" w:color="auto"/>
                                <w:left w:val="none" w:sz="0" w:space="0" w:color="auto"/>
                                <w:bottom w:val="none" w:sz="0" w:space="0" w:color="auto"/>
                                <w:right w:val="none" w:sz="0" w:space="0" w:color="auto"/>
                              </w:divBdr>
                              <w:divsChild>
                                <w:div w:id="3847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265456">
                  <w:marLeft w:val="0"/>
                  <w:marRight w:val="0"/>
                  <w:marTop w:val="0"/>
                  <w:marBottom w:val="0"/>
                  <w:divBdr>
                    <w:top w:val="none" w:sz="0" w:space="0" w:color="auto"/>
                    <w:left w:val="none" w:sz="0" w:space="0" w:color="auto"/>
                    <w:bottom w:val="none" w:sz="0" w:space="0" w:color="auto"/>
                    <w:right w:val="none" w:sz="0" w:space="0" w:color="auto"/>
                  </w:divBdr>
                  <w:divsChild>
                    <w:div w:id="742027556">
                      <w:marLeft w:val="0"/>
                      <w:marRight w:val="0"/>
                      <w:marTop w:val="0"/>
                      <w:marBottom w:val="0"/>
                      <w:divBdr>
                        <w:top w:val="none" w:sz="0" w:space="0" w:color="auto"/>
                        <w:left w:val="none" w:sz="0" w:space="0" w:color="auto"/>
                        <w:bottom w:val="none" w:sz="0" w:space="0" w:color="auto"/>
                        <w:right w:val="none" w:sz="0" w:space="0" w:color="auto"/>
                      </w:divBdr>
                      <w:divsChild>
                        <w:div w:id="1364358981">
                          <w:marLeft w:val="0"/>
                          <w:marRight w:val="0"/>
                          <w:marTop w:val="0"/>
                          <w:marBottom w:val="0"/>
                          <w:divBdr>
                            <w:top w:val="none" w:sz="0" w:space="0" w:color="auto"/>
                            <w:left w:val="none" w:sz="0" w:space="0" w:color="auto"/>
                            <w:bottom w:val="none" w:sz="0" w:space="0" w:color="auto"/>
                            <w:right w:val="none" w:sz="0" w:space="0" w:color="auto"/>
                          </w:divBdr>
                          <w:divsChild>
                            <w:div w:id="462160788">
                              <w:marLeft w:val="0"/>
                              <w:marRight w:val="0"/>
                              <w:marTop w:val="0"/>
                              <w:marBottom w:val="0"/>
                              <w:divBdr>
                                <w:top w:val="none" w:sz="0" w:space="0" w:color="auto"/>
                                <w:left w:val="none" w:sz="0" w:space="0" w:color="auto"/>
                                <w:bottom w:val="none" w:sz="0" w:space="0" w:color="auto"/>
                                <w:right w:val="none" w:sz="0" w:space="0" w:color="auto"/>
                              </w:divBdr>
                              <w:divsChild>
                                <w:div w:id="2567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0797">
                  <w:marLeft w:val="0"/>
                  <w:marRight w:val="0"/>
                  <w:marTop w:val="0"/>
                  <w:marBottom w:val="0"/>
                  <w:divBdr>
                    <w:top w:val="none" w:sz="0" w:space="0" w:color="auto"/>
                    <w:left w:val="none" w:sz="0" w:space="0" w:color="auto"/>
                    <w:bottom w:val="none" w:sz="0" w:space="0" w:color="auto"/>
                    <w:right w:val="none" w:sz="0" w:space="0" w:color="auto"/>
                  </w:divBdr>
                  <w:divsChild>
                    <w:div w:id="1806965559">
                      <w:marLeft w:val="0"/>
                      <w:marRight w:val="0"/>
                      <w:marTop w:val="0"/>
                      <w:marBottom w:val="0"/>
                      <w:divBdr>
                        <w:top w:val="none" w:sz="0" w:space="0" w:color="auto"/>
                        <w:left w:val="none" w:sz="0" w:space="0" w:color="auto"/>
                        <w:bottom w:val="none" w:sz="0" w:space="0" w:color="auto"/>
                        <w:right w:val="none" w:sz="0" w:space="0" w:color="auto"/>
                      </w:divBdr>
                      <w:divsChild>
                        <w:div w:id="448354853">
                          <w:marLeft w:val="0"/>
                          <w:marRight w:val="0"/>
                          <w:marTop w:val="0"/>
                          <w:marBottom w:val="0"/>
                          <w:divBdr>
                            <w:top w:val="none" w:sz="0" w:space="0" w:color="auto"/>
                            <w:left w:val="none" w:sz="0" w:space="0" w:color="auto"/>
                            <w:bottom w:val="none" w:sz="0" w:space="0" w:color="auto"/>
                            <w:right w:val="none" w:sz="0" w:space="0" w:color="auto"/>
                          </w:divBdr>
                          <w:divsChild>
                            <w:div w:id="308903098">
                              <w:marLeft w:val="0"/>
                              <w:marRight w:val="0"/>
                              <w:marTop w:val="0"/>
                              <w:marBottom w:val="0"/>
                              <w:divBdr>
                                <w:top w:val="none" w:sz="0" w:space="0" w:color="auto"/>
                                <w:left w:val="none" w:sz="0" w:space="0" w:color="auto"/>
                                <w:bottom w:val="none" w:sz="0" w:space="0" w:color="auto"/>
                                <w:right w:val="none" w:sz="0" w:space="0" w:color="auto"/>
                              </w:divBdr>
                              <w:divsChild>
                                <w:div w:id="716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25211">
                  <w:marLeft w:val="0"/>
                  <w:marRight w:val="0"/>
                  <w:marTop w:val="0"/>
                  <w:marBottom w:val="0"/>
                  <w:divBdr>
                    <w:top w:val="none" w:sz="0" w:space="0" w:color="auto"/>
                    <w:left w:val="none" w:sz="0" w:space="0" w:color="auto"/>
                    <w:bottom w:val="none" w:sz="0" w:space="0" w:color="auto"/>
                    <w:right w:val="none" w:sz="0" w:space="0" w:color="auto"/>
                  </w:divBdr>
                  <w:divsChild>
                    <w:div w:id="1691057576">
                      <w:marLeft w:val="0"/>
                      <w:marRight w:val="0"/>
                      <w:marTop w:val="0"/>
                      <w:marBottom w:val="0"/>
                      <w:divBdr>
                        <w:top w:val="none" w:sz="0" w:space="0" w:color="auto"/>
                        <w:left w:val="none" w:sz="0" w:space="0" w:color="auto"/>
                        <w:bottom w:val="none" w:sz="0" w:space="0" w:color="auto"/>
                        <w:right w:val="none" w:sz="0" w:space="0" w:color="auto"/>
                      </w:divBdr>
                      <w:divsChild>
                        <w:div w:id="1461265709">
                          <w:marLeft w:val="0"/>
                          <w:marRight w:val="0"/>
                          <w:marTop w:val="0"/>
                          <w:marBottom w:val="0"/>
                          <w:divBdr>
                            <w:top w:val="none" w:sz="0" w:space="0" w:color="auto"/>
                            <w:left w:val="none" w:sz="0" w:space="0" w:color="auto"/>
                            <w:bottom w:val="none" w:sz="0" w:space="0" w:color="auto"/>
                            <w:right w:val="none" w:sz="0" w:space="0" w:color="auto"/>
                          </w:divBdr>
                          <w:divsChild>
                            <w:div w:id="1492140189">
                              <w:marLeft w:val="0"/>
                              <w:marRight w:val="0"/>
                              <w:marTop w:val="0"/>
                              <w:marBottom w:val="0"/>
                              <w:divBdr>
                                <w:top w:val="none" w:sz="0" w:space="0" w:color="auto"/>
                                <w:left w:val="none" w:sz="0" w:space="0" w:color="auto"/>
                                <w:bottom w:val="none" w:sz="0" w:space="0" w:color="auto"/>
                                <w:right w:val="none" w:sz="0" w:space="0" w:color="auto"/>
                              </w:divBdr>
                              <w:divsChild>
                                <w:div w:id="17664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47507">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12001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5294">
              <w:marLeft w:val="0"/>
              <w:marRight w:val="0"/>
              <w:marTop w:val="0"/>
              <w:marBottom w:val="0"/>
              <w:divBdr>
                <w:top w:val="none" w:sz="0" w:space="0" w:color="auto"/>
                <w:left w:val="none" w:sz="0" w:space="0" w:color="auto"/>
                <w:bottom w:val="none" w:sz="0" w:space="0" w:color="auto"/>
                <w:right w:val="none" w:sz="0" w:space="0" w:color="auto"/>
              </w:divBdr>
              <w:divsChild>
                <w:div w:id="965815858">
                  <w:marLeft w:val="0"/>
                  <w:marRight w:val="0"/>
                  <w:marTop w:val="0"/>
                  <w:marBottom w:val="0"/>
                  <w:divBdr>
                    <w:top w:val="none" w:sz="0" w:space="0" w:color="auto"/>
                    <w:left w:val="none" w:sz="0" w:space="0" w:color="auto"/>
                    <w:bottom w:val="none" w:sz="0" w:space="0" w:color="auto"/>
                    <w:right w:val="none" w:sz="0" w:space="0" w:color="auto"/>
                  </w:divBdr>
                </w:div>
              </w:divsChild>
            </w:div>
            <w:div w:id="8161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ngloifa.com/information/protection/" TargetMode="External"/><Relationship Id="rId3" Type="http://schemas.openxmlformats.org/officeDocument/2006/relationships/settings" Target="settings.xml"/><Relationship Id="rId7" Type="http://schemas.openxmlformats.org/officeDocument/2006/relationships/hyperlink" Target="http://www.angloifa.com/information/investment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ngloifa.com/information/pensions/"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ngloifa.com/information/mortgage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2021-04-21T09:46:00Z</dcterms:created>
  <dcterms:modified xsi:type="dcterms:W3CDTF">2021-04-21T09:47:00Z</dcterms:modified>
</cp:coreProperties>
</file>